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rFonts w:ascii="Aptos Display" w:hAnsi="Aptos Display"/>
          <w:sz w:val="44"/>
          <w:szCs w:val="44"/>
        </w:rPr>
        <w:t xml:space="preserve">IMCP</w:t>
      </w:r>
    </w:p>
    <w:p>
      <w:pPr>
        <w:jc w:val="center"/>
      </w:pPr>
      <w:r>
        <w:rPr>
          <w:b/>
          <w:rFonts w:ascii="Aptos Display" w:hAnsi="Aptos Display"/>
          <w:sz w:val="32"/>
          <w:szCs w:val="32"/>
        </w:rPr>
        <w:t xml:space="preserve">Evolução do Sistema Comercial / Gestão de Protocolos Injetáveis</w:t>
      </w:r>
    </w:p>
    <w:p>
      <w:pPr>
        <w:jc w:val="center"/>
      </w:pPr>
      <w:r>
        <w:rPr>
          <w:i/>
        </w:rPr>
        <w:t xml:space="preserve">Documento de entendimento, desenho de solução e direcionamento de implantação</w:t>
      </w:r>
    </w:p>
    <w:p>
      <w:pPr>
        <w:jc w:val="center"/>
      </w:pPr>
      <w:r>
        <w:t xml:space="preserve">Baseado na reunião de 29/09/2026.</w:t>
      </w:r>
    </w:p>
    <w:p>
      <w:r>
        <w:br w:type="page"/>
      </w:r>
    </w:p>
    <w:p>
      <w:pPr>
        <w:pStyle w:val="Heading1"/>
      </w:pPr>
      <w:r>
        <w:t xml:space="preserve">1. Resumo executivo</w:t>
      </w:r>
    </w:p>
    <w:p>
      <w:r>
        <w:t xml:space="preserve">O IMCP possui hoje um processo de construção de protocolos injetáveis, orçamento, prescrição, registro de pagamento, fechamento financeiro e repasse médico que depende de WhatsApp, Word, PDFs e múltiplas planilhas. O orçamento em si é relativamente rápido; o maior esforço está no fechamento, quando informações já utilizadas precisam ser reconstruídas para apuração de custos e repasses.</w:t>
      </w:r>
    </w:p>
    <w:p>
      <w:r>
        <w:t xml:space="preserve">A solução proposta é uma aplicação web independente, com cadastro centralizado das tabelas de referência, motor de precificação, geração de orçamento e prescrição, registro de pagamento, cálculo de repasse, fluxo de caixa e dashboard.</w:t>
      </w:r>
    </w:p>
    <w:p>
      <w:pPr>
        <w:shd w:val="clear" w:fill="ECFDF5"/>
        <w:pBdr>
          <w:left w:val="single" w:sz="18" w:space="6" w:color="0F766E"/>
        </w:pBdr>
      </w:pPr>
      <w:r>
        <w:rPr>
          <w:b/>
        </w:rPr>
        <w:t xml:space="preserve">Diretriz principal: </w:t>
      </w:r>
      <w:r>
        <w:t xml:space="preserve">registrar os dados uma única vez e reaproveitá-los nas etapas posteriores.</w:t>
      </w:r>
    </w:p>
    <w:p>
      <w:pPr>
        <w:pStyle w:val="Heading1"/>
      </w:pPr>
      <w:r>
        <w:t xml:space="preserve">2. Objetivos do projeto</w:t>
      </w:r>
    </w:p>
    <w:p>
      <w:pPr>
        <w:pStyle w:val="ListParagraph"/>
        <w:numPr>
          <w:ilvl w:val="0"/>
          <w:numId w:val="1"/>
        </w:numPr>
      </w:pPr>
      <w:r>
        <w:t xml:space="preserve">Reduzir o uso simultâneo de várias planilhas.</w:t>
      </w:r>
    </w:p>
    <w:p>
      <w:pPr>
        <w:pStyle w:val="ListParagraph"/>
        <w:numPr>
          <w:ilvl w:val="0"/>
          <w:numId w:val="1"/>
        </w:numPr>
      </w:pPr>
      <w:r>
        <w:t xml:space="preserve">Evitar refazer cálculos no fechamento do mês.</w:t>
      </w:r>
    </w:p>
    <w:p>
      <w:pPr>
        <w:pStyle w:val="ListParagraph"/>
        <w:numPr>
          <w:ilvl w:val="0"/>
          <w:numId w:val="1"/>
        </w:numPr>
      </w:pPr>
      <w:r>
        <w:t xml:space="preserve">Centralizar referências de preço e custo.</w:t>
      </w:r>
    </w:p>
    <w:p>
      <w:pPr>
        <w:pStyle w:val="ListParagraph"/>
        <w:numPr>
          <w:ilvl w:val="0"/>
          <w:numId w:val="1"/>
        </w:numPr>
      </w:pPr>
      <w:r>
        <w:t xml:space="preserve">Suportar protocolos fixos e personalizados.</w:t>
      </w:r>
    </w:p>
    <w:p>
      <w:pPr>
        <w:pStyle w:val="ListParagraph"/>
        <w:numPr>
          <w:ilvl w:val="0"/>
          <w:numId w:val="1"/>
        </w:numPr>
      </w:pPr>
      <w:r>
        <w:t xml:space="preserve">Gerar orçamento e prescrição a partir da mesma base.</w:t>
      </w:r>
    </w:p>
    <w:p>
      <w:pPr>
        <w:pStyle w:val="ListParagraph"/>
        <w:numPr>
          <w:ilvl w:val="0"/>
          <w:numId w:val="1"/>
        </w:numPr>
      </w:pPr>
      <w:r>
        <w:t xml:space="preserve">Apoiar a apuração de repasses médicos.</w:t>
      </w:r>
    </w:p>
    <w:p>
      <w:pPr>
        <w:pStyle w:val="ListParagraph"/>
        <w:numPr>
          <w:ilvl w:val="0"/>
          <w:numId w:val="1"/>
        </w:numPr>
      </w:pPr>
      <w:r>
        <w:t xml:space="preserve">Registrar pagamentos e alimentar o fluxo de caixa.</w:t>
      </w:r>
    </w:p>
    <w:p>
      <w:pPr>
        <w:pStyle w:val="ListParagraph"/>
        <w:numPr>
          <w:ilvl w:val="0"/>
          <w:numId w:val="1"/>
        </w:numPr>
      </w:pPr>
      <w:r>
        <w:t xml:space="preserve">Disponibilizar indicadores gerenciais.</w:t>
      </w:r>
    </w:p>
    <w:p>
      <w:pPr>
        <w:pStyle w:val="ListParagraph"/>
        <w:numPr>
          <w:ilvl w:val="0"/>
          <w:numId w:val="1"/>
        </w:numPr>
      </w:pPr>
      <w:r>
        <w:t xml:space="preserve">Preparar a solução para futura gestão de estoque e dispensação.</w:t>
      </w:r>
    </w:p>
    <w:p>
      <w:pPr>
        <w:pStyle w:val="Heading1"/>
      </w:pPr>
      <w:r>
        <w:t xml:space="preserve">3. Processo atual — AS IS</w:t>
      </w:r>
    </w:p>
    <w:tbl>
      <w:tblPr>
        <w:tblW w:w="9000" w:type="dxa"/>
        <w:tblBorders>
          <w:top w:val="single" w:sz="6" w:color="C7D2FE"/>
          <w:left w:val="single" w:sz="6" w:color="C7D2FE"/>
          <w:bottom w:val="single" w:sz="6" w:color="C7D2FE"/>
          <w:right w:val="single" w:sz="6" w:color="C7D2FE"/>
        </w:tblBorders>
      </w:tblPr>
      <w:tblGrid>
        <w:gridCol w:w="9000"/>
      </w:tblGrid>
      <w:tr>
        <w:tc>
          <w:tcPr>
            <w:shd w:val="clear" w:fill="F8FAFF"/>
          </w:tcPr>
          <w:p>
            <w:r>
              <w:rPr>
                <w:rFonts w:ascii="Courier New" w:hAnsi="Courier New"/>
                <w:sz w:val="19"/>
                <w:szCs w:val="19"/>
              </w:rPr>
              <w:t xml:space="preserve">Médico / responsável define tratamento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              ↓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Solicitação chega por WhatsApp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              ↓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Consulta de tabelas em Excel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              ↓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Cálculo manual do protocolo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              ↓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Orçamento em Word → PDF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              ↓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Aprovação → prescrição → pagamento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              ↓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Lançamento em várias planilhas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              ↓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Fechamento: recalcular custos → repasses → financeiro</w:t>
            </w:r>
          </w:p>
        </w:tc>
      </w:tr>
    </w:tbl>
    <w:p>
      <w:pPr>
        <w:pStyle w:val="Heading2"/>
      </w:pPr>
      <w:r>
        <w:t xml:space="preserve">Principais dores</w:t>
      </w:r>
    </w:p>
    <w:p>
      <w:pPr>
        <w:pStyle w:val="ListParagraph"/>
        <w:numPr>
          <w:ilvl w:val="0"/>
          <w:numId w:val="1"/>
        </w:numPr>
      </w:pPr>
      <w:r>
        <w:t xml:space="preserve">Informação fragmentada entre ferramentas.</w:t>
      </w:r>
    </w:p>
    <w:p>
      <w:pPr>
        <w:pStyle w:val="ListParagraph"/>
        <w:numPr>
          <w:ilvl w:val="0"/>
          <w:numId w:val="1"/>
        </w:numPr>
      </w:pPr>
      <w:r>
        <w:t xml:space="preserve">Retrabalho entre orçamento e fechamento.</w:t>
      </w:r>
    </w:p>
    <w:p>
      <w:pPr>
        <w:pStyle w:val="ListParagraph"/>
        <w:numPr>
          <w:ilvl w:val="0"/>
          <w:numId w:val="1"/>
        </w:numPr>
      </w:pPr>
      <w:r>
        <w:t xml:space="preserve">Dependência de conferência manual.</w:t>
      </w:r>
    </w:p>
    <w:p>
      <w:pPr>
        <w:pStyle w:val="ListParagraph"/>
        <w:numPr>
          <w:ilvl w:val="0"/>
          <w:numId w:val="1"/>
        </w:numPr>
      </w:pPr>
      <w:r>
        <w:t xml:space="preserve">Necessidade de recuperar prescrições já executadas.</w:t>
      </w:r>
    </w:p>
    <w:p>
      <w:pPr>
        <w:pStyle w:val="ListParagraph"/>
        <w:numPr>
          <w:ilvl w:val="0"/>
          <w:numId w:val="1"/>
        </w:numPr>
      </w:pPr>
      <w:r>
        <w:t xml:space="preserve">Baixa rastreabilidade do cálculo original quando não salvo de forma estruturada.</w:t>
      </w:r>
    </w:p>
    <w:p>
      <w:pPr>
        <w:pStyle w:val="ListParagraph"/>
        <w:numPr>
          <w:ilvl w:val="0"/>
          <w:numId w:val="1"/>
        </w:numPr>
      </w:pPr>
      <w:r>
        <w:t xml:space="preserve">Escalabilidade limitada conforme o volume aumenta.</w:t>
      </w:r>
    </w:p>
    <w:p>
      <w:pPr>
        <w:pStyle w:val="Heading1"/>
      </w:pPr>
      <w:r>
        <w:t xml:space="preserve">4. Processo futuro — TO BE</w:t>
      </w:r>
    </w:p>
    <w:tbl>
      <w:tblPr>
        <w:tblW w:w="9000" w:type="dxa"/>
        <w:tblBorders>
          <w:top w:val="single" w:sz="6" w:color="C7D2FE"/>
          <w:left w:val="single" w:sz="6" w:color="C7D2FE"/>
          <w:bottom w:val="single" w:sz="6" w:color="C7D2FE"/>
          <w:right w:val="single" w:sz="6" w:color="C7D2FE"/>
        </w:tblBorders>
      </w:tblPr>
      <w:tblGrid>
        <w:gridCol w:w="9000"/>
      </w:tblGrid>
      <w:tr>
        <w:tc>
          <w:tcPr>
            <w:shd w:val="clear" w:fill="F8FAFF"/>
          </w:tcPr>
          <w:p>
            <w:r>
              <w:rPr>
                <w:rFonts w:ascii="Courier New" w:hAnsi="Courier New"/>
                <w:sz w:val="19"/>
                <w:szCs w:val="19"/>
              </w:rPr>
              <w:t xml:space="preserve">Cadastros e tabelas de referência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              ↓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Paciente + médico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              ↓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Tipo de protocolo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        ↙             ↘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   Fixo          Personalizado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        ↘             ↙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      Motor de precificação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              ↓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         Orçamento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              ↓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          Aprovação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       ↙          ↘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  Recusado     Aprovado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                  ↓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              Prescrição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                  ↓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              Pagamento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          ↙       ↓       ↘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       Caixa   Repasse  Indicadores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          ↘       ↓       ↙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              Dashboard</w:t>
            </w:r>
          </w:p>
        </w:tc>
      </w:tr>
    </w:tbl>
    <w:p>
      <w:pPr>
        <w:pStyle w:val="Heading1"/>
      </w:pPr>
      <w:r>
        <w:t xml:space="preserve">5. Escopo funcional — Fase 1</w:t>
      </w:r>
    </w:p>
    <w:p>
      <w:pPr>
        <w:pStyle w:val="Heading2"/>
      </w:pPr>
      <w:r>
        <w:t xml:space="preserve">5.1 Cadastros e tabelas</w:t>
      </w:r>
    </w:p>
    <w:p>
      <w:pPr>
        <w:pStyle w:val="ListParagraph"/>
        <w:numPr>
          <w:ilvl w:val="0"/>
          <w:numId w:val="1"/>
        </w:numPr>
      </w:pPr>
      <w:r>
        <w:t xml:space="preserve">Ativos / medicamentos.</w:t>
      </w:r>
    </w:p>
    <w:p>
      <w:pPr>
        <w:pStyle w:val="ListParagraph"/>
        <w:numPr>
          <w:ilvl w:val="0"/>
          <w:numId w:val="1"/>
        </w:numPr>
      </w:pPr>
      <w:r>
        <w:t xml:space="preserve">Fornecedores e preços de compra.</w:t>
      </w:r>
    </w:p>
    <w:p>
      <w:pPr>
        <w:pStyle w:val="ListParagraph"/>
        <w:numPr>
          <w:ilvl w:val="0"/>
          <w:numId w:val="1"/>
        </w:numPr>
      </w:pPr>
      <w:r>
        <w:t xml:space="preserve">Custo real IMCP.</w:t>
      </w:r>
    </w:p>
    <w:p>
      <w:pPr>
        <w:pStyle w:val="ListParagraph"/>
        <w:numPr>
          <w:ilvl w:val="0"/>
          <w:numId w:val="1"/>
        </w:numPr>
      </w:pPr>
      <w:r>
        <w:t xml:space="preserve">Custo utilizado no repasse.</w:t>
      </w:r>
    </w:p>
    <w:p>
      <w:pPr>
        <w:pStyle w:val="ListParagraph"/>
        <w:numPr>
          <w:ilvl w:val="0"/>
          <w:numId w:val="1"/>
        </w:numPr>
      </w:pPr>
      <w:r>
        <w:t xml:space="preserve">Custos de materiais e sala.</w:t>
      </w:r>
    </w:p>
    <w:p>
      <w:pPr>
        <w:pStyle w:val="ListParagraph"/>
        <w:numPr>
          <w:ilvl w:val="0"/>
          <w:numId w:val="1"/>
        </w:numPr>
      </w:pPr>
      <w:r>
        <w:t xml:space="preserve">Médicos e regras de repasse.</w:t>
      </w:r>
    </w:p>
    <w:p>
      <w:pPr>
        <w:pStyle w:val="ListParagraph"/>
        <w:numPr>
          <w:ilvl w:val="0"/>
          <w:numId w:val="1"/>
        </w:numPr>
      </w:pPr>
      <w:r>
        <w:t xml:space="preserve">Protocolos fixos.</w:t>
      </w:r>
    </w:p>
    <w:p>
      <w:pPr>
        <w:pStyle w:val="ListParagraph"/>
        <w:numPr>
          <w:ilvl w:val="0"/>
          <w:numId w:val="1"/>
        </w:numPr>
      </w:pPr>
      <w:r>
        <w:t xml:space="preserve">Parâmetros de precificação e desconto.</w:t>
      </w:r>
    </w:p>
    <w:p>
      <w:pPr>
        <w:pStyle w:val="Heading2"/>
      </w:pPr>
      <w:r>
        <w:t xml:space="preserve">5.2 Protocolos</w:t>
      </w:r>
    </w:p>
    <w:p>
      <w:pPr>
        <w:pStyle w:val="ListParagraph"/>
        <w:numPr>
          <w:ilvl w:val="0"/>
          <w:numId w:val="1"/>
        </w:numPr>
      </w:pPr>
      <w:r>
        <w:t xml:space="preserve">Protocolos fixos: itens com composição e valor previamente definidos, variando principalmente em quantidade ou número de sessões.</w:t>
      </w:r>
    </w:p>
    <w:p>
      <w:pPr>
        <w:pStyle w:val="ListParagraph"/>
        <w:numPr>
          <w:ilvl w:val="0"/>
          <w:numId w:val="1"/>
        </w:numPr>
      </w:pPr>
      <w:r>
        <w:t xml:space="preserve">Protocolos personalizados: combinação de ativos, materiais e tipo de aplicação conforme a necessidade do paciente.</w:t>
      </w:r>
    </w:p>
    <w:p>
      <w:pPr>
        <w:pStyle w:val="Heading2"/>
      </w:pPr>
      <w:r>
        <w:t xml:space="preserve">5.3 Motor de precificação</w:t>
      </w:r>
    </w:p>
    <w:p>
      <w:r>
        <w:t xml:space="preserve">As regras devem ser parametrizáveis. A reunião apresenta mais de uma lógica de custo e margem, portanto percentuais não devem ficar fixos no código.</w:t>
      </w:r>
    </w:p>
    <w:tbl>
      <w:tblPr>
        <w:tblW w:w="0" w:type="auto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2600"/>
        <w:gridCol w:w="6400"/>
      </w:tblGrid>
      <w:tr>
        <w:tc>
          <w:tcPr>
            <w:tcW w:w="2600" w:type="dxa"/>
            <w:shd w:val="clear" w:fill="F3F4F6"/>
          </w:tcPr>
          <w:p>
            <w:r>
              <w:rPr>
                <w:b/>
              </w:rPr>
              <w:t xml:space="preserve">Componente</w:t>
            </w:r>
          </w:p>
        </w:tc>
        <w:tc>
          <w:tcPr>
            <w:tcW w:w="6400" w:type="dxa"/>
            <w:shd w:val="clear" w:fill="F3F4F6"/>
          </w:tcPr>
          <w:p>
            <w:r>
              <w:rPr>
                <w:b/>
              </w:rPr>
              <w:t xml:space="preserve">Função</w:t>
            </w:r>
          </w:p>
        </w:tc>
      </w:tr>
      <w:tr>
        <w:tc>
          <w:tcPr>
            <w:tcW w:w="2600" w:type="dxa"/>
          </w:tcPr>
          <w:p>
            <w:r>
              <w:t xml:space="preserve">Custo de ativos</w:t>
            </w:r>
          </w:p>
        </w:tc>
        <w:tc>
          <w:tcPr>
            <w:tcW w:w="6400" w:type="dxa"/>
          </w:tcPr>
          <w:p>
            <w:r>
              <w:t xml:space="preserve">Somatório dos medicamentos e insumos selecionados.</w:t>
            </w:r>
          </w:p>
        </w:tc>
      </w:tr>
      <w:tr>
        <w:tc>
          <w:tcPr>
            <w:tcW w:w="2600" w:type="dxa"/>
          </w:tcPr>
          <w:p>
            <w:r>
              <w:t xml:space="preserve">Material</w:t>
            </w:r>
          </w:p>
        </w:tc>
        <w:tc>
          <w:tcPr>
            <w:tcW w:w="6400" w:type="dxa"/>
          </w:tcPr>
          <w:p>
            <w:r>
              <w:t xml:space="preserve">Consumíveis conforme tipo de aplicação.</w:t>
            </w:r>
          </w:p>
        </w:tc>
      </w:tr>
      <w:tr>
        <w:tc>
          <w:tcPr>
            <w:tcW w:w="2600" w:type="dxa"/>
          </w:tcPr>
          <w:p>
            <w:r>
              <w:t xml:space="preserve">Sala</w:t>
            </w:r>
          </w:p>
        </w:tc>
        <w:tc>
          <w:tcPr>
            <w:tcW w:w="6400" w:type="dxa"/>
          </w:tcPr>
          <w:p>
            <w:r>
              <w:t xml:space="preserve">Taxa ou tempo de utilização quando aplicável.</w:t>
            </w:r>
          </w:p>
        </w:tc>
      </w:tr>
      <w:tr>
        <w:tc>
          <w:tcPr>
            <w:tcW w:w="2600" w:type="dxa"/>
          </w:tcPr>
          <w:p>
            <w:r>
              <w:t xml:space="preserve">Custo real</w:t>
            </w:r>
          </w:p>
        </w:tc>
        <w:tc>
          <w:tcPr>
            <w:tcW w:w="6400" w:type="dxa"/>
          </w:tcPr>
          <w:p>
            <w:r>
              <w:t xml:space="preserve">Visão interna do custo do IMCP.</w:t>
            </w:r>
          </w:p>
        </w:tc>
      </w:tr>
      <w:tr>
        <w:tc>
          <w:tcPr>
            <w:tcW w:w="2600" w:type="dxa"/>
          </w:tcPr>
          <w:p>
            <w:r>
              <w:t xml:space="preserve">Custo para repasse</w:t>
            </w:r>
          </w:p>
        </w:tc>
        <w:tc>
          <w:tcPr>
            <w:tcW w:w="6400" w:type="dxa"/>
          </w:tcPr>
          <w:p>
            <w:r>
              <w:t xml:space="preserve">Base utilizada conforme regra médica.</w:t>
            </w:r>
          </w:p>
        </w:tc>
      </w:tr>
      <w:tr>
        <w:tc>
          <w:tcPr>
            <w:tcW w:w="2600" w:type="dxa"/>
          </w:tcPr>
          <w:p>
            <w:r>
              <w:t xml:space="preserve">Preço mínimo</w:t>
            </w:r>
          </w:p>
        </w:tc>
        <w:tc>
          <w:tcPr>
            <w:tcW w:w="6400" w:type="dxa"/>
          </w:tcPr>
          <w:p>
            <w:r>
              <w:t xml:space="preserve">Limite comercial calculado pelo sistema.</w:t>
            </w:r>
          </w:p>
        </w:tc>
      </w:tr>
      <w:tr>
        <w:tc>
          <w:tcPr>
            <w:tcW w:w="2600" w:type="dxa"/>
          </w:tcPr>
          <w:p>
            <w:r>
              <w:t xml:space="preserve">Preço apresentado</w:t>
            </w:r>
          </w:p>
        </w:tc>
        <w:tc>
          <w:tcPr>
            <w:tcW w:w="6400" w:type="dxa"/>
          </w:tcPr>
          <w:p>
            <w:r>
              <w:t xml:space="preserve">Valor efetivamente apresentado ao paciente.</w:t>
            </w:r>
          </w:p>
        </w:tc>
      </w:tr>
    </w:tbl>
    <w:p>
      <w:pPr>
        <w:pStyle w:val="Heading2"/>
      </w:pPr>
      <w:r>
        <w:t xml:space="preserve">5.4 Orçamento</w:t>
      </w:r>
    </w:p>
    <w:p>
      <w:pPr>
        <w:pStyle w:val="ListParagraph"/>
        <w:numPr>
          <w:ilvl w:val="0"/>
          <w:numId w:val="1"/>
        </w:numPr>
      </w:pPr>
      <w:r>
        <w:t xml:space="preserve">Montagem do tratamento em tela.</w:t>
      </w:r>
    </w:p>
    <w:p>
      <w:pPr>
        <w:pStyle w:val="ListParagraph"/>
        <w:numPr>
          <w:ilvl w:val="0"/>
          <w:numId w:val="1"/>
        </w:numPr>
      </w:pPr>
      <w:r>
        <w:t xml:space="preserve">Número de sessões.</w:t>
      </w:r>
    </w:p>
    <w:p>
      <w:pPr>
        <w:pStyle w:val="ListParagraph"/>
        <w:numPr>
          <w:ilvl w:val="0"/>
          <w:numId w:val="1"/>
        </w:numPr>
      </w:pPr>
      <w:r>
        <w:t xml:space="preserve">Preço por sessão e total.</w:t>
      </w:r>
    </w:p>
    <w:p>
      <w:pPr>
        <w:pStyle w:val="ListParagraph"/>
        <w:numPr>
          <w:ilvl w:val="0"/>
          <w:numId w:val="1"/>
        </w:numPr>
      </w:pPr>
      <w:r>
        <w:t xml:space="preserve">Condição de pagamento.</w:t>
      </w:r>
    </w:p>
    <w:p>
      <w:pPr>
        <w:pStyle w:val="ListParagraph"/>
        <w:numPr>
          <w:ilvl w:val="0"/>
          <w:numId w:val="1"/>
        </w:numPr>
      </w:pPr>
      <w:r>
        <w:t xml:space="preserve">Desconto dentro dos parâmetros permitidos.</w:t>
      </w:r>
    </w:p>
    <w:p>
      <w:pPr>
        <w:pStyle w:val="ListParagraph"/>
        <w:numPr>
          <w:ilvl w:val="0"/>
          <w:numId w:val="1"/>
        </w:numPr>
      </w:pPr>
      <w:r>
        <w:t xml:space="preserve">Geração de PDF.</w:t>
      </w:r>
    </w:p>
    <w:p>
      <w:pPr>
        <w:pStyle w:val="ListParagraph"/>
        <w:numPr>
          <w:ilvl w:val="0"/>
          <w:numId w:val="1"/>
        </w:numPr>
      </w:pPr>
      <w:r>
        <w:t xml:space="preserve">Histórico e versionamento.</w:t>
      </w:r>
    </w:p>
    <w:p>
      <w:pPr>
        <w:pStyle w:val="ListParagraph"/>
        <w:numPr>
          <w:ilvl w:val="0"/>
          <w:numId w:val="1"/>
        </w:numPr>
      </w:pPr>
      <w:r>
        <w:t xml:space="preserve">Status de acompanhamento.</w:t>
      </w:r>
    </w:p>
    <w:p>
      <w:pPr>
        <w:pStyle w:val="Heading2"/>
      </w:pPr>
      <w:r>
        <w:t xml:space="preserve">5.5 Prescrição</w:t>
      </w:r>
    </w:p>
    <w:p>
      <w:pPr>
        <w:pStyle w:val="ListParagraph"/>
        <w:numPr>
          <w:ilvl w:val="0"/>
          <w:numId w:val="1"/>
        </w:numPr>
      </w:pPr>
      <w:r>
        <w:t xml:space="preserve">Gerada a partir do tratamento aprovado.</w:t>
      </w:r>
    </w:p>
    <w:p>
      <w:pPr>
        <w:pStyle w:val="ListParagraph"/>
        <w:numPr>
          <w:ilvl w:val="0"/>
          <w:numId w:val="1"/>
        </w:numPr>
      </w:pPr>
      <w:r>
        <w:t xml:space="preserve">Lista de ativos e doses.</w:t>
      </w:r>
    </w:p>
    <w:p>
      <w:pPr>
        <w:pStyle w:val="ListParagraph"/>
        <w:numPr>
          <w:ilvl w:val="0"/>
          <w:numId w:val="1"/>
        </w:numPr>
      </w:pPr>
      <w:r>
        <w:t xml:space="preserve">Organização por sessão.</w:t>
      </w:r>
    </w:p>
    <w:p>
      <w:pPr>
        <w:pStyle w:val="ListParagraph"/>
        <w:numPr>
          <w:ilvl w:val="0"/>
          <w:numId w:val="1"/>
        </w:numPr>
      </w:pPr>
      <w:r>
        <w:t xml:space="preserve">Orientações para enfermagem.</w:t>
      </w:r>
    </w:p>
    <w:p>
      <w:pPr>
        <w:pStyle w:val="ListParagraph"/>
        <w:numPr>
          <w:ilvl w:val="0"/>
          <w:numId w:val="1"/>
        </w:numPr>
      </w:pPr>
      <w:r>
        <w:t xml:space="preserve">Registro de data, profissional, lote e validade.</w:t>
      </w:r>
    </w:p>
    <w:p>
      <w:pPr>
        <w:pStyle w:val="Heading2"/>
      </w:pPr>
      <w:r>
        <w:t xml:space="preserve">5.6 Pagamento</w:t>
      </w:r>
    </w:p>
    <w:p>
      <w:pPr>
        <w:pStyle w:val="ListParagraph"/>
        <w:numPr>
          <w:ilvl w:val="0"/>
          <w:numId w:val="1"/>
        </w:numPr>
      </w:pPr>
      <w:r>
        <w:t xml:space="preserve">À vista.</w:t>
      </w:r>
    </w:p>
    <w:p>
      <w:pPr>
        <w:pStyle w:val="ListParagraph"/>
        <w:numPr>
          <w:ilvl w:val="0"/>
          <w:numId w:val="1"/>
        </w:numPr>
      </w:pPr>
      <w:r>
        <w:t xml:space="preserve">Cartão parcelado.</w:t>
      </w:r>
    </w:p>
    <w:p>
      <w:pPr>
        <w:pStyle w:val="ListParagraph"/>
        <w:numPr>
          <w:ilvl w:val="0"/>
          <w:numId w:val="1"/>
        </w:numPr>
      </w:pPr>
      <w:r>
        <w:t xml:space="preserve">Pagamento por sessão.</w:t>
      </w:r>
    </w:p>
    <w:p>
      <w:pPr>
        <w:pStyle w:val="ListParagraph"/>
        <w:numPr>
          <w:ilvl w:val="0"/>
          <w:numId w:val="1"/>
        </w:numPr>
      </w:pPr>
      <w:r>
        <w:t xml:space="preserve">Outros formatos / exceções, como parcelamento via Pix.</w:t>
      </w:r>
    </w:p>
    <w:p>
      <w:r>
        <w:t xml:space="preserve">A forma de pagamento deverá ser considerada na lógica de repasse quando aplicável.</w:t>
      </w:r>
    </w:p>
    <w:p>
      <w:pPr>
        <w:pStyle w:val="Heading2"/>
      </w:pPr>
      <w:r>
        <w:t xml:space="preserve">5.7 Repasse médico</w:t>
      </w:r>
    </w:p>
    <w:p>
      <w:r>
        <w:t xml:space="preserve">Este é um dos principais ganhos operacionais. O repasse deverá ser construído desde a aprovação e o pagamento, evitando reconstrução posterior.</w:t>
      </w:r>
    </w:p>
    <w:tbl>
      <w:tblPr>
        <w:tblW w:w="0" w:type="auto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2600"/>
        <w:gridCol w:w="6400"/>
      </w:tblGrid>
      <w:tr>
        <w:tc>
          <w:tcPr>
            <w:tcW w:w="2600" w:type="dxa"/>
            <w:shd w:val="clear" w:fill="F3F4F6"/>
          </w:tcPr>
          <w:p>
            <w:r>
              <w:rPr>
                <w:b/>
              </w:rPr>
              <w:t xml:space="preserve">Informação</w:t>
            </w:r>
          </w:p>
        </w:tc>
        <w:tc>
          <w:tcPr>
            <w:tcW w:w="6400" w:type="dxa"/>
            <w:shd w:val="clear" w:fill="F3F4F6"/>
          </w:tcPr>
          <w:p>
            <w:r>
              <w:rPr>
                <w:b/>
              </w:rPr>
              <w:t xml:space="preserve">Uso</w:t>
            </w:r>
          </w:p>
        </w:tc>
      </w:tr>
      <w:tr>
        <w:tc>
          <w:tcPr>
            <w:tcW w:w="2600" w:type="dxa"/>
          </w:tcPr>
          <w:p>
            <w:r>
              <w:t xml:space="preserve">Paciente</w:t>
            </w:r>
          </w:p>
        </w:tc>
        <w:tc>
          <w:tcPr>
            <w:tcW w:w="6400" w:type="dxa"/>
          </w:tcPr>
          <w:p>
            <w:r>
              <w:t xml:space="preserve">Identificação do atendimento.</w:t>
            </w:r>
          </w:p>
        </w:tc>
      </w:tr>
      <w:tr>
        <w:tc>
          <w:tcPr>
            <w:tcW w:w="2600" w:type="dxa"/>
          </w:tcPr>
          <w:p>
            <w:r>
              <w:t xml:space="preserve">Médico</w:t>
            </w:r>
          </w:p>
        </w:tc>
        <w:tc>
          <w:tcPr>
            <w:tcW w:w="6400" w:type="dxa"/>
          </w:tcPr>
          <w:p>
            <w:r>
              <w:t xml:space="preserve">Responsável pelo repasse.</w:t>
            </w:r>
          </w:p>
        </w:tc>
      </w:tr>
      <w:tr>
        <w:tc>
          <w:tcPr>
            <w:tcW w:w="2600" w:type="dxa"/>
          </w:tcPr>
          <w:p>
            <w:r>
              <w:t xml:space="preserve">Tratamento</w:t>
            </w:r>
          </w:p>
        </w:tc>
        <w:tc>
          <w:tcPr>
            <w:tcW w:w="6400" w:type="dxa"/>
          </w:tcPr>
          <w:p>
            <w:r>
              <w:t xml:space="preserve">Protocolo / composição.</w:t>
            </w:r>
          </w:p>
        </w:tc>
      </w:tr>
      <w:tr>
        <w:tc>
          <w:tcPr>
            <w:tcW w:w="2600" w:type="dxa"/>
          </w:tcPr>
          <w:p>
            <w:r>
              <w:t xml:space="preserve">Valor pago</w:t>
            </w:r>
          </w:p>
        </w:tc>
        <w:tc>
          <w:tcPr>
            <w:tcW w:w="6400" w:type="dxa"/>
          </w:tcPr>
          <w:p>
            <w:r>
              <w:t xml:space="preserve">Base financeira recebida.</w:t>
            </w:r>
          </w:p>
        </w:tc>
      </w:tr>
      <w:tr>
        <w:tc>
          <w:tcPr>
            <w:tcW w:w="2600" w:type="dxa"/>
          </w:tcPr>
          <w:p>
            <w:r>
              <w:t xml:space="preserve">Custo</w:t>
            </w:r>
          </w:p>
        </w:tc>
        <w:tc>
          <w:tcPr>
            <w:tcW w:w="6400" w:type="dxa"/>
          </w:tcPr>
          <w:p>
            <w:r>
              <w:t xml:space="preserve">Custo correspondente ao tratamento.</w:t>
            </w:r>
          </w:p>
        </w:tc>
      </w:tr>
      <w:tr>
        <w:tc>
          <w:tcPr>
            <w:tcW w:w="2600" w:type="dxa"/>
          </w:tcPr>
          <w:p>
            <w:r>
              <w:t xml:space="preserve">Valor líquido</w:t>
            </w:r>
          </w:p>
        </w:tc>
        <w:tc>
          <w:tcPr>
            <w:tcW w:w="6400" w:type="dxa"/>
          </w:tcPr>
          <w:p>
            <w:r>
              <w:t xml:space="preserve">Valor após descontos definidos.</w:t>
            </w:r>
          </w:p>
        </w:tc>
      </w:tr>
      <w:tr>
        <w:tc>
          <w:tcPr>
            <w:tcW w:w="2600" w:type="dxa"/>
          </w:tcPr>
          <w:p>
            <w:r>
              <w:t xml:space="preserve">Regra de repasse</w:t>
            </w:r>
          </w:p>
        </w:tc>
        <w:tc>
          <w:tcPr>
            <w:tcW w:w="6400" w:type="dxa"/>
          </w:tcPr>
          <w:p>
            <w:r>
              <w:t xml:space="preserve">Percentual ou lógica parametrizada.</w:t>
            </w:r>
          </w:p>
        </w:tc>
      </w:tr>
      <w:tr>
        <w:tc>
          <w:tcPr>
            <w:tcW w:w="2600" w:type="dxa"/>
          </w:tcPr>
          <w:p>
            <w:r>
              <w:t xml:space="preserve">Valor do repasse</w:t>
            </w:r>
          </w:p>
        </w:tc>
        <w:tc>
          <w:tcPr>
            <w:tcW w:w="6400" w:type="dxa"/>
          </w:tcPr>
          <w:p>
            <w:r>
              <w:t xml:space="preserve">Resultado calculado pelo sistema.</w:t>
            </w:r>
          </w:p>
        </w:tc>
      </w:tr>
    </w:tbl>
    <w:p>
      <w:pPr>
        <w:pStyle w:val="Heading2"/>
      </w:pPr>
      <w:r>
        <w:t xml:space="preserve">5.8 Fluxo de caixa e dashboard</w:t>
      </w:r>
    </w:p>
    <w:p>
      <w:pPr>
        <w:pStyle w:val="ListParagraph"/>
        <w:numPr>
          <w:ilvl w:val="0"/>
          <w:numId w:val="1"/>
        </w:numPr>
      </w:pPr>
      <w:r>
        <w:t xml:space="preserve">Registrar o pagamento uma única vez.</w:t>
      </w:r>
    </w:p>
    <w:p>
      <w:pPr>
        <w:pStyle w:val="ListParagraph"/>
        <w:numPr>
          <w:ilvl w:val="0"/>
          <w:numId w:val="1"/>
        </w:numPr>
      </w:pPr>
      <w:r>
        <w:t xml:space="preserve">Permitir visão por data e forma de pagamento.</w:t>
      </w:r>
    </w:p>
    <w:p>
      <w:pPr>
        <w:pStyle w:val="ListParagraph"/>
        <w:numPr>
          <w:ilvl w:val="0"/>
          <w:numId w:val="1"/>
        </w:numPr>
      </w:pPr>
      <w:r>
        <w:t xml:space="preserve">Disponibilizar exportação ou consulta pelo financeiro.</w:t>
      </w:r>
    </w:p>
    <w:p>
      <w:pPr>
        <w:pStyle w:val="ListParagraph"/>
        <w:numPr>
          <w:ilvl w:val="0"/>
          <w:numId w:val="1"/>
        </w:numPr>
      </w:pPr>
      <w:r>
        <w:t xml:space="preserve">Relacionar pagamentos com orçamento e repasse.</w:t>
      </w:r>
    </w:p>
    <w:p>
      <w:pPr>
        <w:pStyle w:val="ListParagraph"/>
        <w:numPr>
          <w:ilvl w:val="0"/>
          <w:numId w:val="1"/>
        </w:numPr>
      </w:pPr>
      <w:r>
        <w:t xml:space="preserve">Exibir orçamentos, conversão, ticket médio, valores recebidos, protocolos, repasses e pendências.</w:t>
      </w:r>
    </w:p>
    <w:p>
      <w:pPr>
        <w:pStyle w:val="Heading1"/>
      </w:pPr>
      <w:r>
        <w:t xml:space="preserve">6. Arquitetura sugerida</w:t>
      </w:r>
    </w:p>
    <w:tbl>
      <w:tblPr>
        <w:tblW w:w="9000" w:type="dxa"/>
        <w:tblBorders>
          <w:top w:val="single" w:sz="6" w:color="C7D2FE"/>
          <w:left w:val="single" w:sz="6" w:color="C7D2FE"/>
          <w:bottom w:val="single" w:sz="6" w:color="C7D2FE"/>
          <w:right w:val="single" w:sz="6" w:color="C7D2FE"/>
        </w:tblBorders>
      </w:tblPr>
      <w:tblGrid>
        <w:gridCol w:w="9000"/>
      </w:tblGrid>
      <w:tr>
        <w:tc>
          <w:tcPr>
            <w:shd w:val="clear" w:fill="F8FAFF"/>
          </w:tcPr>
          <w:p>
            <w:r>
              <w:rPr>
                <w:rFonts w:ascii="Courier New" w:hAnsi="Courier New"/>
                <w:sz w:val="19"/>
                <w:szCs w:val="19"/>
              </w:rPr>
              <w:t xml:space="preserve">Usuários: Assistencial / Financeiro / Gestão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                     ↓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          Aplicação Web Responsiva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                     ↓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               API / Backend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              ↙      ↓       ↘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          Banco    Storage   Autenticação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Evoluções futuras: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• Sistema comercial atual → dashboard consolidado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• Figo / prontuário → integração opcional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• Estoque / compras → Fase 2</w:t>
            </w:r>
          </w:p>
        </w:tc>
      </w:tr>
    </w:tbl>
    <w:p>
      <w:pPr>
        <w:pStyle w:val="Heading1"/>
      </w:pPr>
      <w:r>
        <w:t xml:space="preserve">7. Fase 2 — Estoque e dispensação</w:t>
      </w:r>
    </w:p>
    <w:tbl>
      <w:tblPr>
        <w:tblW w:w="9000" w:type="dxa"/>
        <w:tblBorders>
          <w:top w:val="single" w:sz="6" w:color="C7D2FE"/>
          <w:left w:val="single" w:sz="6" w:color="C7D2FE"/>
          <w:bottom w:val="single" w:sz="6" w:color="C7D2FE"/>
          <w:right w:val="single" w:sz="6" w:color="C7D2FE"/>
        </w:tblBorders>
      </w:tblPr>
      <w:tblGrid>
        <w:gridCol w:w="9000"/>
      </w:tblGrid>
      <w:tr>
        <w:tc>
          <w:tcPr>
            <w:shd w:val="clear" w:fill="F8FAFF"/>
          </w:tcPr>
          <w:p>
            <w:r>
              <w:rPr>
                <w:rFonts w:ascii="Courier New" w:hAnsi="Courier New"/>
                <w:sz w:val="19"/>
                <w:szCs w:val="19"/>
              </w:rPr>
              <w:t xml:space="preserve">Prescrição / atendimento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          ↓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Leitura de código de barras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          ↓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Baixa automática do estoque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          ↓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Consumo por atendimento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          ↓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Alerta de estoque mínimo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          ↓</w:t>
            </w:r>
          </w:p>
          <w:p>
            <w:r>
              <w:rPr>
                <w:rFonts w:ascii="Courier New" w:hAnsi="Courier New"/>
                <w:sz w:val="19"/>
                <w:szCs w:val="19"/>
              </w:rPr>
              <w:t xml:space="preserve">Solicitação / apoio a compras</w:t>
            </w:r>
          </w:p>
        </w:tc>
      </w:tr>
    </w:tbl>
    <w:p>
      <w:r>
        <w:t xml:space="preserve">A Fase 2 deve ser tratada separadamente para não ampliar excessivamente o escopo inicial.</w:t>
      </w:r>
    </w:p>
    <w:p>
      <w:pPr>
        <w:pStyle w:val="Heading1"/>
      </w:pPr>
      <w:r>
        <w:t xml:space="preserve">8. Investimentos além do desenvolvimento</w:t>
      </w:r>
    </w:p>
    <w:p>
      <w:r>
        <w:t xml:space="preserve">Os valores abaixo são estimativas de planejamento. A contratação final dependerá dos provedores, volume de uso, política de segurança e stack escolhida.</w:t>
      </w:r>
    </w:p>
    <w:tbl>
      <w:tblPr>
        <w:tblW w:w="0" w:type="auto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2200"/>
        <w:gridCol w:w="4300"/>
        <w:gridCol w:w="2500"/>
      </w:tblGrid>
      <w:tr>
        <w:tc>
          <w:tcPr>
            <w:tcW w:w="2200" w:type="dxa"/>
            <w:shd w:val="clear" w:fill="F3F4F6"/>
          </w:tcPr>
          <w:p>
            <w:r>
              <w:rPr>
                <w:b/>
              </w:rPr>
              <w:t xml:space="preserve">Categoria</w:t>
            </w:r>
          </w:p>
        </w:tc>
        <w:tc>
          <w:tcPr>
            <w:tcW w:w="4300" w:type="dxa"/>
            <w:shd w:val="clear" w:fill="F3F4F6"/>
          </w:tcPr>
          <w:p>
            <w:r>
              <w:rPr>
                <w:b/>
              </w:rPr>
              <w:t xml:space="preserve">Descrição</w:t>
            </w:r>
          </w:p>
        </w:tc>
        <w:tc>
          <w:tcPr>
            <w:tcW w:w="2500" w:type="dxa"/>
            <w:shd w:val="clear" w:fill="F3F4F6"/>
          </w:tcPr>
          <w:p>
            <w:r>
              <w:rPr>
                <w:b/>
              </w:rPr>
              <w:t xml:space="preserve">Faixa estimada</w:t>
            </w:r>
          </w:p>
        </w:tc>
      </w:tr>
      <w:tr>
        <w:tc>
          <w:tcPr>
            <w:tcW w:w="2200" w:type="dxa"/>
          </w:tcPr>
          <w:p>
            <w:r>
              <w:t xml:space="preserve">Hospedagem do frontend</w:t>
            </w:r>
          </w:p>
        </w:tc>
        <w:tc>
          <w:tcPr>
            <w:tcW w:w="4300" w:type="dxa"/>
          </w:tcPr>
          <w:p>
            <w:r>
              <w:t xml:space="preserve">Publicação da aplicação web.</w:t>
            </w:r>
          </w:p>
        </w:tc>
        <w:tc>
          <w:tcPr>
            <w:tcW w:w="2500" w:type="dxa"/>
          </w:tcPr>
          <w:p>
            <w:r>
              <w:t xml:space="preserve">R$ 0 a R$ 100/mês</w:t>
            </w:r>
          </w:p>
        </w:tc>
      </w:tr>
      <w:tr>
        <w:tc>
          <w:tcPr>
            <w:tcW w:w="2200" w:type="dxa"/>
          </w:tcPr>
          <w:p>
            <w:r>
              <w:t xml:space="preserve">Backend / banco / autenticação</w:t>
            </w:r>
          </w:p>
        </w:tc>
        <w:tc>
          <w:tcPr>
            <w:tcW w:w="4300" w:type="dxa"/>
          </w:tcPr>
          <w:p>
            <w:r>
              <w:t xml:space="preserve">API, banco, usuários e persistência.</w:t>
            </w:r>
          </w:p>
        </w:tc>
        <w:tc>
          <w:tcPr>
            <w:tcW w:w="2500" w:type="dxa"/>
          </w:tcPr>
          <w:p>
            <w:r>
              <w:t xml:space="preserve">R$ 80 a R$ 600/mês</w:t>
            </w:r>
          </w:p>
        </w:tc>
      </w:tr>
      <w:tr>
        <w:tc>
          <w:tcPr>
            <w:tcW w:w="2200" w:type="dxa"/>
          </w:tcPr>
          <w:p>
            <w:r>
              <w:t xml:space="preserve">Storage de arquivos</w:t>
            </w:r>
          </w:p>
        </w:tc>
        <w:tc>
          <w:tcPr>
            <w:tcW w:w="4300" w:type="dxa"/>
          </w:tcPr>
          <w:p>
            <w:r>
              <w:t xml:space="preserve">PDFs, prescrições e anexos.</w:t>
            </w:r>
          </w:p>
        </w:tc>
        <w:tc>
          <w:tcPr>
            <w:tcW w:w="2500" w:type="dxa"/>
          </w:tcPr>
          <w:p>
            <w:r>
              <w:t xml:space="preserve">Incluso ou variável</w:t>
            </w:r>
          </w:p>
        </w:tc>
      </w:tr>
      <w:tr>
        <w:tc>
          <w:tcPr>
            <w:tcW w:w="2200" w:type="dxa"/>
          </w:tcPr>
          <w:p>
            <w:r>
              <w:t xml:space="preserve">Domínio</w:t>
            </w:r>
          </w:p>
        </w:tc>
        <w:tc>
          <w:tcPr>
            <w:tcW w:w="4300" w:type="dxa"/>
          </w:tcPr>
          <w:p>
            <w:r>
              <w:t xml:space="preserve">Endereço próprio da aplicação.</w:t>
            </w:r>
          </w:p>
        </w:tc>
        <w:tc>
          <w:tcPr>
            <w:tcW w:w="2500" w:type="dxa"/>
          </w:tcPr>
          <w:p>
            <w:r>
              <w:t xml:space="preserve">R$ 40 a R$ 90/ano</w:t>
            </w:r>
          </w:p>
        </w:tc>
      </w:tr>
      <w:tr>
        <w:tc>
          <w:tcPr>
            <w:tcW w:w="2200" w:type="dxa"/>
          </w:tcPr>
          <w:p>
            <w:r>
              <w:t xml:space="preserve">E-mails / notificações</w:t>
            </w:r>
          </w:p>
        </w:tc>
        <w:tc>
          <w:tcPr>
            <w:tcW w:w="4300" w:type="dxa"/>
          </w:tcPr>
          <w:p>
            <w:r>
              <w:t xml:space="preserve">Mensagens transacionais e alertas.</w:t>
            </w:r>
          </w:p>
        </w:tc>
        <w:tc>
          <w:tcPr>
            <w:tcW w:w="2500" w:type="dxa"/>
          </w:tcPr>
          <w:p>
            <w:r>
              <w:t xml:space="preserve">R$ 0 a R$ 150/mês</w:t>
            </w:r>
          </w:p>
        </w:tc>
      </w:tr>
      <w:tr>
        <w:tc>
          <w:tcPr>
            <w:tcW w:w="2200" w:type="dxa"/>
          </w:tcPr>
          <w:p>
            <w:r>
              <w:t xml:space="preserve">Backup / segurança</w:t>
            </w:r>
          </w:p>
        </w:tc>
        <w:tc>
          <w:tcPr>
            <w:tcW w:w="4300" w:type="dxa"/>
          </w:tcPr>
          <w:p>
            <w:r>
              <w:t xml:space="preserve">Backups, retenção, logs e controles adicionais.</w:t>
            </w:r>
          </w:p>
        </w:tc>
        <w:tc>
          <w:tcPr>
            <w:tcW w:w="2500" w:type="dxa"/>
          </w:tcPr>
          <w:p>
            <w:r>
              <w:t xml:space="preserve">R$ 0 a R$ 200/mês</w:t>
            </w:r>
          </w:p>
        </w:tc>
      </w:tr>
      <w:tr>
        <w:tc>
          <w:tcPr>
            <w:tcW w:w="2200" w:type="dxa"/>
          </w:tcPr>
          <w:p>
            <w:r>
              <w:t xml:space="preserve">Treinamento</w:t>
            </w:r>
          </w:p>
        </w:tc>
        <w:tc>
          <w:tcPr>
            <w:tcW w:w="4300" w:type="dxa"/>
          </w:tcPr>
          <w:p>
            <w:r>
              <w:t xml:space="preserve">Capacitação de usuários.</w:t>
            </w:r>
          </w:p>
        </w:tc>
        <w:tc>
          <w:tcPr>
            <w:tcW w:w="2500" w:type="dxa"/>
          </w:tcPr>
          <w:p>
            <w:r>
              <w:t xml:space="preserve">Projeto pontual / sob escopo</w:t>
            </w:r>
          </w:p>
        </w:tc>
      </w:tr>
      <w:tr>
        <w:tc>
          <w:tcPr>
            <w:tcW w:w="2200" w:type="dxa"/>
          </w:tcPr>
          <w:p>
            <w:r>
              <w:t xml:space="preserve">Suporte e manutenção</w:t>
            </w:r>
          </w:p>
        </w:tc>
        <w:tc>
          <w:tcPr>
            <w:tcW w:w="4300" w:type="dxa"/>
          </w:tcPr>
          <w:p>
            <w:r>
              <w:t xml:space="preserve">Correções e evoluções pós-go-live.</w:t>
            </w:r>
          </w:p>
        </w:tc>
        <w:tc>
          <w:tcPr>
            <w:tcW w:w="2500" w:type="dxa"/>
          </w:tcPr>
          <w:p>
            <w:r>
              <w:t xml:space="preserve">Pacote mensal ou banco de horas</w:t>
            </w:r>
          </w:p>
        </w:tc>
      </w:tr>
      <w:tr>
        <w:tc>
          <w:tcPr>
            <w:tcW w:w="2200" w:type="dxa"/>
          </w:tcPr>
          <w:p>
            <w:r>
              <w:t xml:space="preserve">Equipamentos — Fase 2</w:t>
            </w:r>
          </w:p>
        </w:tc>
        <w:tc>
          <w:tcPr>
            <w:tcW w:w="4300" w:type="dxa"/>
          </w:tcPr>
          <w:p>
            <w:r>
              <w:t xml:space="preserve">Leitor de código de barras, etiquetas e periféricos.</w:t>
            </w:r>
          </w:p>
        </w:tc>
        <w:tc>
          <w:tcPr>
            <w:tcW w:w="2500" w:type="dxa"/>
          </w:tcPr>
          <w:p>
            <w:r>
              <w:t xml:space="preserve">R$ 300 a R$ 2.000+ por posto</w:t>
            </w:r>
          </w:p>
        </w:tc>
      </w:tr>
      <w:tr>
        <w:tc>
          <w:tcPr>
            <w:tcW w:w="2200" w:type="dxa"/>
          </w:tcPr>
          <w:p>
            <w:r>
              <w:t xml:space="preserve">LGPD / jurídico</w:t>
            </w:r>
          </w:p>
        </w:tc>
        <w:tc>
          <w:tcPr>
            <w:tcW w:w="4300" w:type="dxa"/>
          </w:tcPr>
          <w:p>
            <w:r>
              <w:t xml:space="preserve">Revisão de acessos, retenção e políticas.</w:t>
            </w:r>
          </w:p>
        </w:tc>
        <w:tc>
          <w:tcPr>
            <w:tcW w:w="2500" w:type="dxa"/>
          </w:tcPr>
          <w:p>
            <w:r>
              <w:t xml:space="preserve">Opcional / consultivo</w:t>
            </w:r>
          </w:p>
        </w:tc>
      </w:tr>
    </w:tbl>
    <w:p>
      <w:pPr>
        <w:shd w:val="clear" w:fill="FFF7ED"/>
        <w:pBdr>
          <w:left w:val="single" w:sz="18" w:space="6" w:color="B7791F"/>
        </w:pBdr>
      </w:pPr>
      <w:r>
        <w:rPr>
          <w:b/>
        </w:rPr>
        <w:t xml:space="preserve">Importante: </w:t>
      </w:r>
      <w:r>
        <w:t xml:space="preserve">separar o investimento de desenvolvimento do custo recorrente de operação.</w:t>
      </w:r>
    </w:p>
    <w:p>
      <w:pPr>
        <w:pStyle w:val="Heading1"/>
      </w:pPr>
      <w:r>
        <w:t xml:space="preserve">9. Estrutura sugerida da proposta comercial</w:t>
      </w:r>
    </w:p>
    <w:p>
      <w:pPr>
        <w:pStyle w:val="ListParagraph"/>
        <w:numPr>
          <w:ilvl w:val="0"/>
          <w:numId w:val="1"/>
        </w:numPr>
      </w:pPr>
      <w:r>
        <w:t xml:space="preserve">Discovery e refinamento funcional.</w:t>
      </w:r>
    </w:p>
    <w:p>
      <w:pPr>
        <w:pStyle w:val="ListParagraph"/>
        <w:numPr>
          <w:ilvl w:val="0"/>
          <w:numId w:val="1"/>
        </w:numPr>
      </w:pPr>
      <w:r>
        <w:t xml:space="preserve">Desenvolvimento da Fase 1.</w:t>
      </w:r>
    </w:p>
    <w:p>
      <w:pPr>
        <w:pStyle w:val="ListParagraph"/>
        <w:numPr>
          <w:ilvl w:val="0"/>
          <w:numId w:val="1"/>
        </w:numPr>
      </w:pPr>
      <w:r>
        <w:t xml:space="preserve">Homologação e implantação.</w:t>
      </w:r>
    </w:p>
    <w:p>
      <w:pPr>
        <w:pStyle w:val="ListParagraph"/>
        <w:numPr>
          <w:ilvl w:val="0"/>
          <w:numId w:val="1"/>
        </w:numPr>
      </w:pPr>
      <w:r>
        <w:t xml:space="preserve">Treinamento da equipe.</w:t>
      </w:r>
    </w:p>
    <w:p>
      <w:pPr>
        <w:pStyle w:val="ListParagraph"/>
        <w:numPr>
          <w:ilvl w:val="0"/>
          <w:numId w:val="1"/>
        </w:numPr>
      </w:pPr>
      <w:r>
        <w:t xml:space="preserve">Sustentação pós-go-live.</w:t>
      </w:r>
    </w:p>
    <w:p>
      <w:pPr>
        <w:pStyle w:val="ListParagraph"/>
        <w:numPr>
          <w:ilvl w:val="0"/>
          <w:numId w:val="1"/>
        </w:numPr>
      </w:pPr>
      <w:r>
        <w:t xml:space="preserve">Fase 2: estoque, código de barras e compras.</w:t>
      </w:r>
    </w:p>
    <w:p>
      <w:pPr>
        <w:pStyle w:val="Heading1"/>
      </w:pPr>
      <w:r>
        <w:t xml:space="preserve">10. Pontos para refinamento</w:t>
      </w:r>
    </w:p>
    <w:p>
      <w:pPr>
        <w:pStyle w:val="ListParagraph"/>
        <w:numPr>
          <w:ilvl w:val="0"/>
          <w:numId w:val="1"/>
        </w:numPr>
      </w:pPr>
      <w:r>
        <w:t xml:space="preserve">Regra exata de cálculo do custo real.</w:t>
      </w:r>
    </w:p>
    <w:p>
      <w:pPr>
        <w:pStyle w:val="ListParagraph"/>
        <w:numPr>
          <w:ilvl w:val="0"/>
          <w:numId w:val="1"/>
        </w:numPr>
      </w:pPr>
      <w:r>
        <w:t xml:space="preserve">Acréscimo utilizado como custo do médico.</w:t>
      </w:r>
    </w:p>
    <w:p>
      <w:pPr>
        <w:pStyle w:val="ListParagraph"/>
        <w:numPr>
          <w:ilvl w:val="0"/>
          <w:numId w:val="1"/>
        </w:numPr>
      </w:pPr>
      <w:r>
        <w:t xml:space="preserve">Margem ou multiplicador da precificação.</w:t>
      </w:r>
    </w:p>
    <w:p>
      <w:pPr>
        <w:pStyle w:val="ListParagraph"/>
        <w:numPr>
          <w:ilvl w:val="0"/>
          <w:numId w:val="1"/>
        </w:numPr>
      </w:pPr>
      <w:r>
        <w:t xml:space="preserve">Limites de desconto.</w:t>
      </w:r>
    </w:p>
    <w:p>
      <w:pPr>
        <w:pStyle w:val="ListParagraph"/>
        <w:numPr>
          <w:ilvl w:val="0"/>
          <w:numId w:val="1"/>
        </w:numPr>
      </w:pPr>
      <w:r>
        <w:t xml:space="preserve">Regras de repasse por profissional.</w:t>
      </w:r>
    </w:p>
    <w:p>
      <w:pPr>
        <w:pStyle w:val="ListParagraph"/>
        <w:numPr>
          <w:ilvl w:val="0"/>
          <w:numId w:val="1"/>
        </w:numPr>
      </w:pPr>
      <w:r>
        <w:t xml:space="preserve">Tratamento de pagamentos por sessão, cartão parcelado e Pix parcelado.</w:t>
      </w:r>
    </w:p>
    <w:p>
      <w:pPr>
        <w:pStyle w:val="ListParagraph"/>
        <w:numPr>
          <w:ilvl w:val="0"/>
          <w:numId w:val="1"/>
        </w:numPr>
      </w:pPr>
      <w:r>
        <w:t xml:space="preserve">Perfis de acesso.</w:t>
      </w:r>
    </w:p>
    <w:p>
      <w:pPr>
        <w:pStyle w:val="ListParagraph"/>
        <w:numPr>
          <w:ilvl w:val="0"/>
          <w:numId w:val="1"/>
        </w:numPr>
      </w:pPr>
      <w:r>
        <w:t xml:space="preserve">Modelo final dos documentos gerados.</w:t>
      </w:r>
    </w:p>
    <w:p>
      <w:pPr>
        <w:pStyle w:val="ListParagraph"/>
        <w:numPr>
          <w:ilvl w:val="0"/>
          <w:numId w:val="1"/>
        </w:numPr>
      </w:pPr>
      <w:r>
        <w:t xml:space="preserve">Necessidade de integração futura com sistemas existentes.</w:t>
      </w:r>
    </w:p>
    <w:p>
      <w:pPr>
        <w:pStyle w:val="Heading1"/>
      </w:pPr>
      <w:r>
        <w:t xml:space="preserve">11. Próximos passos</w:t>
      </w:r>
    </w:p>
    <w:p>
      <w:pPr>
        <w:pStyle w:val="ListParagraph"/>
        <w:numPr>
          <w:ilvl w:val="0"/>
          <w:numId w:val="1"/>
        </w:numPr>
      </w:pPr>
      <w:r>
        <w:t xml:space="preserve">Validar o desenho com o IMCP.</w:t>
      </w:r>
    </w:p>
    <w:p>
      <w:pPr>
        <w:pStyle w:val="ListParagraph"/>
        <w:numPr>
          <w:ilvl w:val="0"/>
          <w:numId w:val="1"/>
        </w:numPr>
      </w:pPr>
      <w:r>
        <w:t xml:space="preserve">Refinar regras com a responsável pelo processo.</w:t>
      </w:r>
    </w:p>
    <w:p>
      <w:pPr>
        <w:pStyle w:val="ListParagraph"/>
        <w:numPr>
          <w:ilvl w:val="0"/>
          <w:numId w:val="1"/>
        </w:numPr>
      </w:pPr>
      <w:r>
        <w:t xml:space="preserve">Definir backlog da Fase 1.</w:t>
      </w:r>
    </w:p>
    <w:p>
      <w:pPr>
        <w:pStyle w:val="ListParagraph"/>
        <w:numPr>
          <w:ilvl w:val="0"/>
          <w:numId w:val="1"/>
        </w:numPr>
      </w:pPr>
      <w:r>
        <w:t xml:space="preserve">Estimar horas por módulo.</w:t>
      </w:r>
    </w:p>
    <w:p>
      <w:pPr>
        <w:pStyle w:val="ListParagraph"/>
        <w:numPr>
          <w:ilvl w:val="0"/>
          <w:numId w:val="1"/>
        </w:numPr>
      </w:pPr>
      <w:r>
        <w:t xml:space="preserve">Definir stack e custo de infraestrutura.</w:t>
      </w:r>
    </w:p>
    <w:p>
      <w:pPr>
        <w:pStyle w:val="ListParagraph"/>
        <w:numPr>
          <w:ilvl w:val="0"/>
          <w:numId w:val="1"/>
        </w:numPr>
      </w:pPr>
      <w:r>
        <w:t xml:space="preserve">Apresentar proposta comercial e cronograma.</w:t>
      </w:r>
    </w:p>
    <w:sectPr>
      <w:pgSz w:w="11906" w:h="16838"/>
      <w:pgMar w:top="1134" w:right="1134" w:bottom="1134" w:left="1134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qFormat/>
    <w:pPr>
      <w:keepNext/>
      <w:spacing w:before="280" w:after="120"/>
    </w:pPr>
    <w:rPr>
      <w:b/>
      <w:color w:val="312E81"/>
      <w:sz w:val="32"/>
    </w:rPr>
  </w:style>
  <w:style w:type="paragraph" w:styleId="Heading2">
    <w:name w:val="heading 2"/>
    <w:basedOn w:val="Normal"/>
    <w:qFormat/>
    <w:pPr>
      <w:keepNext/>
      <w:spacing w:before="220" w:after="80"/>
    </w:pPr>
    <w:rPr>
      <w:b/>
      <w:color w:val="4338CA"/>
      <w:sz w:val="26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IMCP — Proposta de Solução</dc:title>
  <dc:creator>ChatGPT</dc:creator>
  <dcterms:created xsi:type="dcterms:W3CDTF">2026-10-02T00:00:00Z</dcterms:created>
</cp:coreProperties>
</file>