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hd w:val="clear" w:fill="030928"/>
        <w:spacing w:before="0" w:after="0" w:line="240" w:lineRule="auto"/>
        <w:ind w:left="120" w:right="120"/>
      </w:pPr>
      <w:r>
        <w:rPr>
          <w:b/>
          <w:rFonts w:ascii="Roboto" w:hAnsi="Roboto"/>
          <w:color w:val="B4865E"/>
          <w:sz w:val="16"/>
        </w:rPr>
        <w:t xml:space="preserve">DOKUMENTACJA DO WYCENY DEVELOPERSKIEJ</w:t>
      </w:r>
    </w:p>
    <w:p>
      <w:pPr>
        <w:shd w:val="clear" w:fill="030928"/>
        <w:spacing w:before="0" w:after="60" w:line="240" w:lineRule="auto"/>
        <w:ind w:left="120" w:right="120"/>
      </w:pPr>
      <w:r>
        <w:rPr>
          <w:b/>
          <w:rFonts w:ascii="Roboto" w:hAnsi="Roboto"/>
          <w:color w:val="FFFFFF"/>
          <w:sz w:val="40"/>
        </w:rPr>
        <w:t xml:space="preserve">Formularz rekrutacyjny ALK — opis systemu i zakresu prac</w:t>
      </w:r>
    </w:p>
    <w:p>
      <w:pPr>
        <w:shd w:val="clear" w:fill="030928"/>
        <w:spacing w:before="0" w:after="0" w:line="264" w:lineRule="auto"/>
        <w:ind w:left="120" w:right="120"/>
      </w:pPr>
      <w:r>
        <w:rPr>
          <w:rFonts w:ascii="Roboto" w:hAnsi="Roboto"/>
          <w:color w:val="C7CEE6"/>
          <w:sz w:val="20"/>
        </w:rPr>
        <w:t xml:space="preserve">Prototyp interaktywny obejmujący dwa poziomy studiów (I i II stopnia), w wersji desktop i mobilnej. Dokument opisuje architekturę, strukturę formularzy, logikę warunkową oraz komplet wprowadzonych zmian — jako podstawa do oszacowania nakładu implementacyjnego.</w:t>
      </w:r>
    </w:p>
    <w:p>
      <w:pPr>
        <w:spacing w:after="160" w:line="264" w:lineRule="auto"/>
      </w:pPr>
      <w:r>
        <w:rPr>
          <w:rFonts w:ascii="Roboto" w:hAnsi="Roboto"/>
        </w:rPr>
        <w:t xml:space="preserve"/>
      </w:r>
    </w:p>
    <w:p>
      <w:pPr>
        <w:pBdr>
          <w:top w:val="single" w:sz="18" w:space="6" w:color="030928"/>
        </w:pBdr>
        <w:spacing w:before="360" w:after="140"/>
      </w:pPr>
      <w:r>
        <w:rPr>
          <w:b/>
          <w:rFonts w:ascii="Roboto" w:hAnsi="Roboto"/>
          <w:color w:val="030928"/>
          <w:sz w:val="34"/>
        </w:rPr>
        <w:t xml:space="preserve">1. Cel dokumentu</w:t>
      </w:r>
    </w:p>
    <w:p>
      <w:pPr>
        <w:spacing w:after="120" w:line="264" w:lineRule="auto"/>
      </w:pPr>
      <w:r>
        <w:rPr>
          <w:rFonts w:ascii="Roboto" w:hAnsi="Roboto"/>
          <w:color w:val="162447"/>
          <w:sz w:val="21"/>
        </w:rPr>
        <w:t xml:space="preserve">Dokument stanowi specyfikację funkcjonalną prototypu formularza rekrutacyjnego przygotowanego w oparciu o system projektowy ALK.</w:t>
      </w:r>
    </w:p>
    <w:p>
      <w:pPr>
        <w:spacing w:after="120" w:line="264" w:lineRule="auto"/>
      </w:pPr>
      <w:r>
        <w:rPr>
          <w:rFonts w:ascii="Roboto" w:hAnsi="Roboto"/>
          <w:color w:val="162447"/>
          <w:sz w:val="20"/>
        </w:rPr>
        <w:t xml:space="preserve">Opisuje stan docelowy interfejsu oraz decyzje projektowe, tak aby zespół developerski mógł oszacować pracochłonność wdrożenia produkcyjnego (integracja z backendem rekrutacyjnym, walidacja, obsługa plików, płatności). Prototyp odzwierciedla pełen przepływ użytkownika i kompletną logikę warunkową pól — nie zawiera realnej warstwy serwerowej.</w:t>
      </w:r>
    </w:p>
    <w:tbl>
      <w:tblPr>
        <w:tblW w:w="9360" w:type="dxa"/>
        <w:tblBorders>
          <w:left w:val="single" w:sz="24" w:color="91653F"/>
        </w:tblBorders>
        <w:tblLayout w:type="fixed"/>
      </w:tblPr>
      <w:tblGrid>
        <w:gridCol w:w="9360"/>
      </w:tblGrid>
      <w:tr>
        <w:tc>
          <w:tcPr>
            <w:tcW w:w="9360" w:type="dxa"/>
            <w:shd w:val="clear" w:fill="F2F5FF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162447"/>
              </w:rPr>
              <w:t xml:space="preserve">Zakres prototypu: </w:t>
            </w:r>
            <w:r>
              <w:rPr>
                <w:rFonts w:ascii="Roboto" w:hAnsi="Roboto"/>
                <w:color w:val="162447"/>
              </w:rPr>
              <w:t xml:space="preserve">warstwa frontendowa i UX (kroki, pola, walidacja widoczności, stany, kopiowanie danych z profilu). </w:t>
            </w:r>
            <w:r>
              <w:rPr>
                <w:b/>
                <w:rFonts w:ascii="Roboto" w:hAnsi="Roboto"/>
                <w:color w:val="162447"/>
              </w:rPr>
              <w:t xml:space="preserve">Poza zakresem prototypu: </w:t>
            </w:r>
            <w:r>
              <w:rPr>
                <w:rFonts w:ascii="Roboto" w:hAnsi="Roboto"/>
                <w:color w:val="162447"/>
              </w:rPr>
              <w:t xml:space="preserve">API rekrutacyjne, uwierzytelnianie, przechowywanie plików, bramka płatności, generowanie PDF.</w:t>
            </w:r>
          </w:p>
        </w:tc>
      </w:tr>
    </w:tbl>
    <w:p>
      <w:pPr>
        <w:spacing w:after="120" w:line="264" w:lineRule="auto"/>
      </w:pPr>
      <w:r>
        <w:rPr>
          <w:rFonts w:ascii="Roboto" w:hAnsi="Roboto"/>
        </w:rPr>
        <w:t xml:space="preserve"/>
      </w:r>
    </w:p>
    <w:p>
      <w:pPr>
        <w:pBdr>
          <w:top w:val="single" w:sz="18" w:space="6" w:color="030928"/>
        </w:pBdr>
        <w:spacing w:before="360" w:after="140"/>
      </w:pPr>
      <w:r>
        <w:rPr>
          <w:b/>
          <w:rFonts w:ascii="Roboto" w:hAnsi="Roboto"/>
          <w:color w:val="030928"/>
          <w:sz w:val="34"/>
        </w:rPr>
        <w:t xml:space="preserve">2. Przegląd systemu</w:t>
      </w:r>
    </w:p>
    <w:p>
      <w:pPr>
        <w:spacing w:after="120" w:line="264" w:lineRule="auto"/>
      </w:pPr>
      <w:r>
        <w:rPr>
          <w:rFonts w:ascii="Roboto" w:hAnsi="Roboto"/>
          <w:color w:val="162447"/>
          <w:sz w:val="20"/>
        </w:rPr>
        <w:t xml:space="preserve">System obejmuje dwa niezależne warianty formularza odpowiadające poziomom studiów, każdy w dwóch wariantach responsywnych:</w:t>
      </w:r>
    </w:p>
    <w:tbl>
      <w:tblPr>
        <w:tblW w:w="9360" w:type="dxa"/>
        <w:tblBorders>
          <w:top w:val="single" w:sz="2" w:color="E4E7F0"/>
          <w:bottom w:val="single" w:sz="2" w:color="E4E7F0"/>
          <w:insideH w:val="single" w:sz="2" w:color="E4E7F0"/>
        </w:tblBorders>
        <w:tblLayout w:type="fixed"/>
      </w:tblPr>
      <w:tblGrid>
        <w:gridCol w:w="2246"/>
        <w:gridCol w:w="3557"/>
        <w:gridCol w:w="3557"/>
      </w:tblGrid>
      <w:tr>
        <w:trPr>
          <w:tblHeader/>
        </w:trPr>
        <w:tc>
          <w:tcPr>
            <w:tcW w:w="2246" w:type="dxa"/>
            <w:shd w:val="clear" w:fill="162447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FFFFFF"/>
                <w:sz w:val="17"/>
              </w:rPr>
              <w:t xml:space="preserve">Wariant</w:t>
            </w:r>
          </w:p>
        </w:tc>
        <w:tc>
          <w:tcPr>
            <w:tcW w:w="3557" w:type="dxa"/>
            <w:shd w:val="clear" w:fill="162447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FFFFFF"/>
                <w:sz w:val="17"/>
              </w:rPr>
              <w:t xml:space="preserve">Wersja desktop</w:t>
            </w:r>
          </w:p>
        </w:tc>
        <w:tc>
          <w:tcPr>
            <w:tcW w:w="3557" w:type="dxa"/>
            <w:shd w:val="clear" w:fill="162447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FFFFFF"/>
                <w:sz w:val="17"/>
              </w:rPr>
              <w:t xml:space="preserve">Wersja mobilna</w:t>
            </w:r>
          </w:p>
        </w:tc>
      </w:tr>
      <w:tr>
        <w:tc>
          <w:tcPr>
            <w:tcW w:w="2246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162447"/>
                <w:sz w:val="19"/>
              </w:rPr>
              <w:t xml:space="preserve">Studia I stopnia</w:t>
            </w:r>
            <w:r>
              <w:rPr>
                <w:rFonts w:ascii="Roboto" w:hAnsi="Roboto"/>
                <w:color w:val="162447"/>
                <w:sz w:val="19"/>
              </w:rPr>
              <w:t xml:space="preserve"> (i jednolite mgr)</w:t>
            </w:r>
          </w:p>
        </w:tc>
        <w:tc>
          <w:tcPr>
            <w:tcW w:w="3557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FormPrototype.dc.html + StepContent.dc.html</w:t>
            </w:r>
          </w:p>
        </w:tc>
        <w:tc>
          <w:tcPr>
            <w:tcW w:w="3557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Formularz mobilny.dc.html + StepContentMobile.dc.html</w:t>
            </w:r>
          </w:p>
        </w:tc>
      </w:tr>
      <w:tr>
        <w:tc>
          <w:tcPr>
            <w:tcW w:w="2246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162447"/>
                <w:sz w:val="19"/>
              </w:rPr>
              <w:t xml:space="preserve">Studia II stopnia</w:t>
            </w:r>
          </w:p>
        </w:tc>
        <w:tc>
          <w:tcPr>
            <w:tcW w:w="3557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Formularz II stopnia.dc.html + StepContentII.dc.html</w:t>
            </w:r>
          </w:p>
        </w:tc>
        <w:tc>
          <w:tcPr>
            <w:tcW w:w="3557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Formularz mobilny II stopnia.dc.html + StepContentMobileII.dc.html</w:t>
            </w:r>
          </w:p>
        </w:tc>
      </w:tr>
    </w:tbl>
    <w:p>
      <w:pPr>
        <w:spacing w:after="80" w:line="264" w:lineRule="auto"/>
      </w:pPr>
      <w:r>
        <w:rPr>
          <w:rFonts w:ascii="Roboto" w:hAnsi="Roboto"/>
        </w:rPr>
        <w:t xml:space="preserve"/>
      </w:r>
    </w:p>
    <w:p>
      <w:pPr>
        <w:spacing w:after="120" w:line="264" w:lineRule="auto"/>
      </w:pPr>
      <w:r>
        <w:rPr>
          <w:rFonts w:ascii="Roboto" w:hAnsi="Roboto"/>
          <w:color w:val="162447"/>
          <w:sz w:val="20"/>
        </w:rPr>
        <w:t xml:space="preserve">Każdy wariant to kontener formularza (nawigacja, stan globalny, walidacja kompletności, podsumowanie i płatność) oraz zawartość kroków (pola i logika widoczności). Wersje mobilne mają odrębny układ, lecz współdzielą tę samą logikę biznesową co desktop.</w:t>
      </w:r>
    </w:p>
    <w:p>
      <w:pPr>
        <w:spacing w:before="220" w:after="80"/>
      </w:pPr>
      <w:r>
        <w:rPr>
          <w:b/>
          <w:rFonts w:ascii="Roboto" w:hAnsi="Roboto"/>
          <w:color w:val="3252B5"/>
          <w:sz w:val="22"/>
        </w:rPr>
        <w:t xml:space="preserve">WSPÓLNY PRZEPŁYW (KROKI)</w:t>
      </w:r>
    </w:p>
    <w:p>
      <w:pPr>
        <w:pStyle w:val="ListPara"/>
        <w:numPr>
          <w:ilvl w:val="0"/>
          <w:numId w:val="2"/>
        </w:numPr>
        <w:spacing w:after="60" w:line="264" w:lineRule="auto"/>
      </w:pPr>
      <w:r>
        <w:rPr>
          <w:b/>
          <w:rFonts w:ascii="Roboto" w:hAnsi="Roboto"/>
          <w:color w:val="162447"/>
          <w:sz w:val="20"/>
        </w:rPr>
        <w:t xml:space="preserve">Twoje studia</w:t>
      </w:r>
      <w:r>
        <w:rPr>
          <w:rFonts w:ascii="Roboto" w:hAnsi="Roboto"/>
          <w:color w:val="162447"/>
          <w:sz w:val="20"/>
        </w:rPr>
        <w:t xml:space="preserve"> — potwierdzenie kierunku, język lektoratu.</w:t>
      </w:r>
    </w:p>
    <w:p>
      <w:pPr>
        <w:pStyle w:val="ListPara"/>
        <w:numPr>
          <w:ilvl w:val="0"/>
          <w:numId w:val="2"/>
        </w:numPr>
        <w:spacing w:after="60" w:line="264" w:lineRule="auto"/>
      </w:pPr>
      <w:r>
        <w:rPr>
          <w:b/>
          <w:rFonts w:ascii="Roboto" w:hAnsi="Roboto"/>
          <w:color w:val="162447"/>
          <w:sz w:val="20"/>
        </w:rPr>
        <w:t xml:space="preserve">Informacje podstawowe</w:t>
      </w:r>
      <w:r>
        <w:rPr>
          <w:rFonts w:ascii="Roboto" w:hAnsi="Roboto"/>
          <w:color w:val="162447"/>
          <w:sz w:val="20"/>
        </w:rPr>
        <w:t xml:space="preserve"> — dane osobowe, obywatelstwo, adres, adres korespondencyjny, dokument tożsamości.</w:t>
      </w:r>
    </w:p>
    <w:p>
      <w:pPr>
        <w:pStyle w:val="ListPara"/>
        <w:numPr>
          <w:ilvl w:val="0"/>
          <w:numId w:val="2"/>
        </w:numPr>
        <w:spacing w:after="60" w:line="264" w:lineRule="auto"/>
      </w:pPr>
      <w:r>
        <w:rPr>
          <w:b/>
          <w:rFonts w:ascii="Roboto" w:hAnsi="Roboto"/>
          <w:color w:val="162447"/>
          <w:sz w:val="20"/>
        </w:rPr>
        <w:t xml:space="preserve">Wykształcenie</w:t>
      </w:r>
      <w:r>
        <w:rPr>
          <w:rFonts w:ascii="Roboto" w:hAnsi="Roboto"/>
          <w:color w:val="162447"/>
          <w:sz w:val="20"/>
        </w:rPr>
        <w:t xml:space="preserve"> — sekcja różniąca się między I a II stopniem (§4).</w:t>
      </w:r>
    </w:p>
    <w:p>
      <w:pPr>
        <w:pStyle w:val="ListPara"/>
        <w:numPr>
          <w:ilvl w:val="0"/>
          <w:numId w:val="2"/>
        </w:numPr>
        <w:spacing w:after="60" w:line="264" w:lineRule="auto"/>
      </w:pPr>
      <w:r>
        <w:rPr>
          <w:b/>
          <w:rFonts w:ascii="Roboto" w:hAnsi="Roboto"/>
          <w:color w:val="162447"/>
          <w:sz w:val="20"/>
        </w:rPr>
        <w:t xml:space="preserve">Osiągnięcia i dokumenty dodatkowe</w:t>
      </w:r>
      <w:r>
        <w:rPr>
          <w:rFonts w:ascii="Roboto" w:hAnsi="Roboto"/>
          <w:color w:val="162447"/>
          <w:sz w:val="20"/>
        </w:rPr>
        <w:t xml:space="preserve"> — opcjonalne wpisy.</w:t>
      </w:r>
    </w:p>
    <w:p>
      <w:pPr>
        <w:pStyle w:val="ListPara"/>
        <w:numPr>
          <w:ilvl w:val="0"/>
          <w:numId w:val="2"/>
        </w:numPr>
        <w:spacing w:after="60" w:line="264" w:lineRule="auto"/>
      </w:pPr>
      <w:r>
        <w:rPr>
          <w:b/>
          <w:rFonts w:ascii="Roboto" w:hAnsi="Roboto"/>
          <w:color w:val="162447"/>
          <w:sz w:val="20"/>
        </w:rPr>
        <w:t xml:space="preserve">Płatność</w:t>
      </w:r>
      <w:r>
        <w:rPr>
          <w:rFonts w:ascii="Roboto" w:hAnsi="Roboto"/>
          <w:color w:val="162447"/>
          <w:sz w:val="20"/>
        </w:rPr>
        <w:t xml:space="preserve"> — opłata rekrutacyjna (online / BLIK / przelew).</w:t>
      </w:r>
    </w:p>
    <w:p>
      <w:pPr>
        <w:pStyle w:val="ListPara"/>
        <w:numPr>
          <w:ilvl w:val="0"/>
          <w:numId w:val="2"/>
        </w:numPr>
        <w:spacing w:after="60" w:line="264" w:lineRule="auto"/>
      </w:pPr>
      <w:r>
        <w:rPr>
          <w:b/>
          <w:rFonts w:ascii="Roboto" w:hAnsi="Roboto"/>
          <w:color w:val="162447"/>
          <w:sz w:val="20"/>
        </w:rPr>
        <w:t xml:space="preserve">Podsumowanie</w:t>
      </w:r>
      <w:r>
        <w:rPr>
          <w:rFonts w:ascii="Roboto" w:hAnsi="Roboto"/>
          <w:color w:val="162447"/>
          <w:sz w:val="20"/>
        </w:rPr>
        <w:t xml:space="preserve"> — przegląd danych, lista braków, wysyłka.</w:t>
      </w:r>
    </w:p>
    <w:p>
      <w:pPr>
        <w:pBdr>
          <w:top w:val="single" w:sz="18" w:space="6" w:color="030928"/>
        </w:pBdr>
        <w:spacing w:before="360" w:after="140"/>
      </w:pPr>
      <w:r>
        <w:rPr>
          <w:b/>
          <w:rFonts w:ascii="Roboto" w:hAnsi="Roboto"/>
          <w:color w:val="030928"/>
          <w:sz w:val="34"/>
        </w:rPr>
        <w:t xml:space="preserve">3. Fundament wizualny</w:t>
      </w:r>
    </w:p>
    <w:p>
      <w:pPr>
        <w:spacing w:after="120" w:line="264" w:lineRule="auto"/>
      </w:pPr>
      <w:r>
        <w:rPr>
          <w:rFonts w:ascii="Roboto" w:hAnsi="Roboto"/>
          <w:color w:val="162447"/>
          <w:sz w:val="20"/>
        </w:rPr>
        <w:t xml:space="preserve">Całość opiera się na ALK Design System: paleta granat (#030928) / karmazyn akcji (#A00332) / ciepłe złoto (#B4865E), typografia Open Sans (UI) + Roboto (pola i wartości), ostre narożniki, obramowania pól realizowane wewnętrznym cieniem. Wszystkie kontrolki (Input, TagInputDropdown, InputTextArea, Radio, Checkbox, Button) pochodzą z biblioteki komponentów systemu.</w:t>
      </w:r>
    </w:p>
    <w:p>
      <w:pPr>
        <w:pBdr>
          <w:top w:val="single" w:sz="18" w:space="6" w:color="030928"/>
        </w:pBdr>
        <w:spacing w:before="360" w:after="140"/>
      </w:pPr>
      <w:r>
        <w:rPr>
          <w:b/>
          <w:rFonts w:ascii="Roboto" w:hAnsi="Roboto"/>
          <w:color w:val="030928"/>
          <w:sz w:val="34"/>
        </w:rPr>
        <w:t xml:space="preserve">4. Wykształcenie — różnica I vs II stopień</w:t>
      </w:r>
    </w:p>
    <w:p>
      <w:pPr>
        <w:spacing w:after="120" w:line="264" w:lineRule="auto"/>
      </w:pPr>
      <w:r>
        <w:rPr>
          <w:rFonts w:ascii="Roboto" w:hAnsi="Roboto"/>
          <w:color w:val="162447"/>
          <w:sz w:val="20"/>
        </w:rPr>
        <w:t xml:space="preserve">Krok „Wykształcenie" to kluczowa różnica merytoryczna. Dla II stopnia został w całości przebudowany: usunięto logikę matury, w jej miejsce wprowadzono przepływ oparty na dyplomie ukończenia studiów I stopnia.</w:t>
      </w:r>
    </w:p>
    <w:tbl>
      <w:tblPr>
        <w:tblW w:w="9360" w:type="dxa"/>
        <w:tblBorders>
          <w:top w:val="single" w:sz="2" w:color="E4E7F0"/>
          <w:bottom w:val="single" w:sz="2" w:color="E4E7F0"/>
          <w:insideH w:val="single" w:sz="2" w:color="E4E7F0"/>
        </w:tblBorders>
        <w:tblLayout w:type="fixed"/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w="2434" w:type="dxa"/>
            <w:shd w:val="clear" w:fill="162447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FFFFFF"/>
                <w:sz w:val="17"/>
              </w:rPr>
              <w:t xml:space="preserve">Element</w:t>
            </w:r>
          </w:p>
        </w:tc>
        <w:tc>
          <w:tcPr>
            <w:tcW w:w="3463" w:type="dxa"/>
            <w:shd w:val="clear" w:fill="162447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FFFFFF"/>
                <w:sz w:val="17"/>
              </w:rPr>
              <w:t xml:space="preserve">I stopień</w:t>
            </w:r>
          </w:p>
        </w:tc>
        <w:tc>
          <w:tcPr>
            <w:tcW w:w="3463" w:type="dxa"/>
            <w:shd w:val="clear" w:fill="162447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FFFFFF"/>
                <w:sz w:val="17"/>
              </w:rPr>
              <w:t xml:space="preserve">II stopień</w:t>
            </w:r>
          </w:p>
        </w:tc>
      </w:tr>
      <w:tr>
        <w:tc>
          <w:tcPr>
            <w:tcW w:w="2434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Podstawa przyjęcia</w:t>
            </w:r>
          </w:p>
        </w:tc>
        <w:tc>
          <w:tcPr>
            <w:tcW w:w="3463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Świadectwo maturalne (PL / zagr. / IB/EB)</w:t>
            </w:r>
          </w:p>
        </w:tc>
        <w:tc>
          <w:tcPr>
            <w:tcW w:w="3463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Dyplom studiów I stopnia (licencjat / inżynier)</w:t>
            </w:r>
          </w:p>
        </w:tc>
      </w:tr>
      <w:tr>
        <w:tc>
          <w:tcPr>
            <w:tcW w:w="2434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Oczekiwanie na wyniki</w:t>
            </w:r>
          </w:p>
        </w:tc>
        <w:tc>
          <w:tcPr>
            <w:tcW w:w="3463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Checkbox „oczekuję na wyniki matury" + odroczenie</w:t>
            </w:r>
          </w:p>
        </w:tc>
        <w:tc>
          <w:tcPr>
            <w:tcW w:w="3463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Brak (zastąpione danymi dyplomu)</w:t>
            </w:r>
          </w:p>
        </w:tc>
      </w:tr>
      <w:tr>
        <w:tc>
          <w:tcPr>
            <w:tcW w:w="2434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Rodzaj uczelni</w:t>
            </w:r>
          </w:p>
        </w:tc>
        <w:tc>
          <w:tcPr>
            <w:tcW w:w="3463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—</w:t>
            </w:r>
          </w:p>
        </w:tc>
        <w:tc>
          <w:tcPr>
            <w:tcW w:w="3463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Przełącznik: polska / zagraniczna</w:t>
            </w:r>
          </w:p>
        </w:tc>
      </w:tr>
      <w:tr>
        <w:tc>
          <w:tcPr>
            <w:tcW w:w="2434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Dane dyplomu</w:t>
            </w:r>
          </w:p>
        </w:tc>
        <w:tc>
          <w:tcPr>
            <w:tcW w:w="3463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—</w:t>
            </w:r>
          </w:p>
        </w:tc>
        <w:tc>
          <w:tcPr>
            <w:tcW w:w="3463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Uczelnia, kierunek, nr, data, tytuł, data ukończenia</w:t>
            </w:r>
          </w:p>
        </w:tc>
      </w:tr>
      <w:tr>
        <w:tc>
          <w:tcPr>
            <w:tcW w:w="2434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Pobranie danych z ALK</w:t>
            </w:r>
          </w:p>
        </w:tc>
        <w:tc>
          <w:tcPr>
            <w:tcW w:w="3463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—</w:t>
            </w:r>
          </w:p>
        </w:tc>
        <w:tc>
          <w:tcPr>
            <w:tcW w:w="3463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Checkbox „ukończyłem w ALK" → auto-uzupełnienie</w:t>
            </w:r>
          </w:p>
        </w:tc>
      </w:tr>
    </w:tbl>
    <w:p>
      <w:pPr>
        <w:spacing w:after="80" w:line="264" w:lineRule="auto"/>
      </w:pPr>
      <w:r>
        <w:rPr>
          <w:rFonts w:ascii="Roboto" w:hAnsi="Roboto"/>
        </w:rPr>
        <w:t xml:space="preserve"/>
      </w:r>
    </w:p>
    <w:p>
      <w:pPr>
        <w:spacing w:before="220" w:after="80"/>
      </w:pPr>
      <w:r>
        <w:rPr>
          <w:b/>
          <w:rFonts w:ascii="Roboto" w:hAnsi="Roboto"/>
          <w:color w:val="3252B5"/>
          <w:sz w:val="22"/>
        </w:rPr>
        <w:t xml:space="preserve">STRUKTURA SEKCJI „WYKSZTAŁCENIE" — II STOPIEŃ</w:t>
      </w:r>
    </w:p>
    <w:p>
      <w:pPr>
        <w:pStyle w:val="ListPara"/>
        <w:numPr>
          <w:ilvl w:val="0"/>
          <w:numId w:val="1"/>
        </w:numPr>
        <w:spacing w:after="60" w:line="264" w:lineRule="auto"/>
      </w:pPr>
      <w:r>
        <w:rPr>
          <w:b/>
          <w:rFonts w:ascii="Roboto" w:hAnsi="Roboto"/>
          <w:color w:val="162447"/>
          <w:sz w:val="20"/>
        </w:rPr>
        <w:t xml:space="preserve">Rodzaj uczelni</w:t>
      </w:r>
      <w:r>
        <w:rPr>
          <w:rFonts w:ascii="Roboto" w:hAnsi="Roboto"/>
          <w:color w:val="162447"/>
          <w:sz w:val="20"/>
        </w:rPr>
        <w:t xml:space="preserve"> — grupa radio: polska / zagraniczna.</w:t>
      </w:r>
    </w:p>
    <w:p>
      <w:pPr>
        <w:pStyle w:val="ListPara"/>
        <w:numPr>
          <w:ilvl w:val="0"/>
          <w:numId w:val="1"/>
        </w:numPr>
        <w:spacing w:after="60" w:line="264" w:lineRule="auto"/>
      </w:pPr>
      <w:r>
        <w:rPr>
          <w:b/>
          <w:rFonts w:ascii="Roboto" w:hAnsi="Roboto"/>
          <w:color w:val="162447"/>
          <w:sz w:val="20"/>
        </w:rPr>
        <w:t xml:space="preserve">Dyplom ukończenia studiów I stopnia</w:t>
      </w:r>
      <w:r>
        <w:rPr>
          <w:rFonts w:ascii="Roboto" w:hAnsi="Roboto"/>
          <w:color w:val="162447"/>
          <w:sz w:val="20"/>
        </w:rPr>
        <w:t xml:space="preserve">:</w:t>
      </w:r>
    </w:p>
    <w:p>
      <w:pPr>
        <w:pStyle w:val="ListPara"/>
        <w:numPr>
          <w:ilvl w:val="1"/>
          <w:numId w:val="1"/>
        </w:numPr>
        <w:spacing w:after="60" w:line="264" w:lineRule="auto"/>
      </w:pPr>
      <w:r>
        <w:rPr>
          <w:rFonts w:ascii="Roboto" w:hAnsi="Roboto"/>
          <w:color w:val="162447"/>
          <w:sz w:val="20"/>
        </w:rPr>
        <w:t xml:space="preserve">Checkbox „Studia I stopnia ukończyłem w ALK" (widoczny tylko dla uczelni polskiej — §6);</w:t>
      </w:r>
    </w:p>
    <w:p>
      <w:pPr>
        <w:pStyle w:val="ListPara"/>
        <w:numPr>
          <w:ilvl w:val="1"/>
          <w:numId w:val="1"/>
        </w:numPr>
        <w:spacing w:after="60" w:line="264" w:lineRule="auto"/>
      </w:pPr>
      <w:r>
        <w:rPr>
          <w:rFonts w:ascii="Roboto" w:hAnsi="Roboto"/>
          <w:color w:val="162447"/>
          <w:sz w:val="20"/>
        </w:rPr>
        <w:t xml:space="preserve">po zaznaczeniu dane dyplomu i skany pobierane automatycznie z systemu ALK (pola i uploady blokowane);</w:t>
      </w:r>
    </w:p>
    <w:p>
      <w:pPr>
        <w:pStyle w:val="ListPara"/>
        <w:numPr>
          <w:ilvl w:val="1"/>
          <w:numId w:val="1"/>
        </w:numPr>
        <w:spacing w:after="60" w:line="264" w:lineRule="auto"/>
      </w:pPr>
      <w:r>
        <w:rPr>
          <w:rFonts w:ascii="Roboto" w:hAnsi="Roboto"/>
          <w:color w:val="162447"/>
          <w:sz w:val="20"/>
        </w:rPr>
        <w:t xml:space="preserve">w innym wypadku użytkownik podaje: nazwę uczelni, kierunek, (dla zagr. także kraj), nr dyplomu, datę wydania, tytuł zawodowy, datę ukończenia.</w:t>
      </w:r>
    </w:p>
    <w:p>
      <w:pPr>
        <w:pStyle w:val="ListPara"/>
        <w:numPr>
          <w:ilvl w:val="0"/>
          <w:numId w:val="1"/>
        </w:numPr>
        <w:spacing w:after="60" w:line="264" w:lineRule="auto"/>
      </w:pPr>
      <w:r>
        <w:rPr>
          <w:b/>
          <w:rFonts w:ascii="Roboto" w:hAnsi="Roboto"/>
          <w:color w:val="162447"/>
          <w:sz w:val="20"/>
        </w:rPr>
        <w:t xml:space="preserve">Dokumenty</w:t>
      </w:r>
      <w:r>
        <w:rPr>
          <w:rFonts w:ascii="Roboto" w:hAnsi="Roboto"/>
          <w:color w:val="162447"/>
          <w:sz w:val="20"/>
        </w:rPr>
        <w:t xml:space="preserve"> — skan dyplomu i suplementu; dla uczelni zagranicznej dodatkowo tłumaczenia przysięgłe (§6).</w:t>
      </w:r>
    </w:p>
    <w:p>
      <w:pPr>
        <w:pBdr>
          <w:top w:val="single" w:sz="18" w:space="6" w:color="030928"/>
        </w:pBdr>
        <w:spacing w:before="360" w:after="140"/>
      </w:pPr>
      <w:r>
        <w:rPr>
          <w:b/>
          <w:rFonts w:ascii="Roboto" w:hAnsi="Roboto"/>
          <w:color w:val="030928"/>
          <w:sz w:val="34"/>
        </w:rPr>
        <w:t xml:space="preserve">5. Logika warunkowa (reguły biznesowe)</w:t>
      </w:r>
    </w:p>
    <w:p>
      <w:pPr>
        <w:spacing w:after="120" w:line="264" w:lineRule="auto"/>
      </w:pPr>
      <w:r>
        <w:rPr>
          <w:rFonts w:ascii="Roboto" w:hAnsi="Roboto"/>
          <w:color w:val="162447"/>
          <w:sz w:val="20"/>
        </w:rPr>
        <w:t xml:space="preserve">Widoczność i blokada pól sterowana jest stanem formularza. Najważniejsze reguły do odwzorowania produkcyjnie:</w:t>
      </w:r>
    </w:p>
    <w:tbl>
      <w:tblPr>
        <w:tblW w:w="9360" w:type="dxa"/>
        <w:tblBorders>
          <w:top w:val="single" w:sz="2" w:color="E4E7F0"/>
          <w:bottom w:val="single" w:sz="2" w:color="E4E7F0"/>
          <w:insideH w:val="single" w:sz="2" w:color="E4E7F0"/>
        </w:tblBorders>
        <w:tblLayout w:type="fixed"/>
      </w:tblPr>
      <w:tblGrid>
        <w:gridCol w:w="3557"/>
        <w:gridCol w:w="5803"/>
      </w:tblGrid>
      <w:tr>
        <w:trPr>
          <w:tblHeader/>
        </w:trPr>
        <w:tc>
          <w:tcPr>
            <w:tcW w:w="3557" w:type="dxa"/>
            <w:shd w:val="clear" w:fill="162447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FFFFFF"/>
                <w:sz w:val="17"/>
              </w:rPr>
              <w:t xml:space="preserve">Warunek</w:t>
            </w:r>
          </w:p>
        </w:tc>
        <w:tc>
          <w:tcPr>
            <w:tcW w:w="5803" w:type="dxa"/>
            <w:shd w:val="clear" w:fill="162447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FFFFFF"/>
                <w:sz w:val="17"/>
              </w:rPr>
              <w:t xml:space="preserve">Zachowanie</w:t>
            </w:r>
          </w:p>
        </w:tc>
      </w:tr>
      <w:tr>
        <w:tc>
          <w:tcPr>
            <w:tcW w:w="3557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Obywatelstwo inne niż polskie</w:t>
            </w:r>
          </w:p>
        </w:tc>
        <w:tc>
          <w:tcPr>
            <w:tcW w:w="5803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Pola zależne od PESEL zastąpione datą urodzenia / dokumentem zagranicznym</w:t>
            </w:r>
          </w:p>
        </w:tc>
      </w:tr>
      <w:tr>
        <w:tc>
          <w:tcPr>
            <w:tcW w:w="3557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„Posiadam drugie obywatelstwo"</w:t>
            </w:r>
          </w:p>
        </w:tc>
        <w:tc>
          <w:tcPr>
            <w:tcW w:w="5803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Pokazuje pole kraju drugiego obywatelstwa</w:t>
            </w:r>
          </w:p>
        </w:tc>
      </w:tr>
      <w:tr>
        <w:tc>
          <w:tcPr>
            <w:tcW w:w="3557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„Adres korespondencyjny inny"</w:t>
            </w:r>
          </w:p>
        </w:tc>
        <w:tc>
          <w:tcPr>
            <w:tcW w:w="5803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Pokazuje komplet pól adresu korespondencyjnego</w:t>
            </w:r>
          </w:p>
        </w:tc>
      </w:tr>
      <w:tr>
        <w:tc>
          <w:tcPr>
            <w:tcW w:w="3557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Uczelnia polska + checkbox ALK</w:t>
            </w:r>
          </w:p>
        </w:tc>
        <w:tc>
          <w:tcPr>
            <w:tcW w:w="5803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Dane dyplomu pobierane automatycznie; pola i uploady zablokowane</w:t>
            </w:r>
          </w:p>
        </w:tc>
      </w:tr>
      <w:tr>
        <w:tc>
          <w:tcPr>
            <w:tcW w:w="3557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Uczelnia zagraniczna</w:t>
            </w:r>
          </w:p>
        </w:tc>
        <w:tc>
          <w:tcPr>
            <w:tcW w:w="5803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Pole „Kraj uczelni" + wymagane tłumaczenia przysięgłe dyplomu i suplementu</w:t>
            </w:r>
          </w:p>
        </w:tc>
      </w:tr>
      <w:tr>
        <w:tc>
          <w:tcPr>
            <w:tcW w:w="3557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Metoda płatności = przelew</w:t>
            </w:r>
          </w:p>
        </w:tc>
        <w:tc>
          <w:tcPr>
            <w:tcW w:w="5803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Wyświetla dane do przelewu z wygenerowanym tytułem</w:t>
            </w:r>
          </w:p>
        </w:tc>
      </w:tr>
      <w:tr>
        <w:tc>
          <w:tcPr>
            <w:tcW w:w="3557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Krok „Podsumowanie" niekompletny</w:t>
            </w:r>
          </w:p>
        </w:tc>
        <w:tc>
          <w:tcPr>
            <w:tcW w:w="5803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Blokada wysyłki + lista brakujących pól</w:t>
            </w:r>
          </w:p>
        </w:tc>
      </w:tr>
    </w:tbl>
    <w:p>
      <w:pPr>
        <w:spacing w:after="80" w:line="264" w:lineRule="auto"/>
      </w:pPr>
      <w:r>
        <w:rPr>
          <w:rFonts w:ascii="Roboto" w:hAnsi="Roboto"/>
        </w:rPr>
        <w:t xml:space="preserve"/>
      </w:r>
    </w:p>
    <w:p>
      <w:pPr>
        <w:pBdr>
          <w:top w:val="single" w:sz="18" w:space="6" w:color="030928"/>
        </w:pBdr>
        <w:spacing w:before="360" w:after="140"/>
      </w:pPr>
      <w:r>
        <w:rPr>
          <w:b/>
          <w:rFonts w:ascii="Roboto" w:hAnsi="Roboto"/>
          <w:color w:val="030928"/>
          <w:sz w:val="34"/>
        </w:rPr>
        <w:t xml:space="preserve">6. Rejestr wprowadzonych zmian</w:t>
      </w:r>
    </w:p>
    <w:p>
      <w:pPr>
        <w:spacing w:after="120" w:line="264" w:lineRule="auto"/>
      </w:pPr>
      <w:r>
        <w:rPr>
          <w:rFonts w:ascii="Roboto" w:hAnsi="Roboto"/>
          <w:color w:val="162447"/>
          <w:sz w:val="20"/>
        </w:rPr>
        <w:t xml:space="preserve">Komplet zmian w wariancie II stopnia (każda zaaplikowana równolegle w wersji desktop i mobilnej).</w:t>
      </w:r>
    </w:p>
    <w:tbl>
      <w:tblPr>
        <w:tblW w:w="9360" w:type="dxa"/>
        <w:tblBorders>
          <w:top w:val="single" w:sz="2" w:color="E4E7F0"/>
          <w:bottom w:val="single" w:sz="2" w:color="E4E7F0"/>
          <w:insideH w:val="single" w:sz="2" w:color="E4E7F0"/>
        </w:tblBorders>
        <w:tblLayout w:type="fixed"/>
      </w:tblPr>
      <w:tblGrid>
        <w:gridCol w:w="1872"/>
        <w:gridCol w:w="4118"/>
        <w:gridCol w:w="3370"/>
      </w:tblGrid>
      <w:tr>
        <w:trPr>
          <w:tblHeader/>
        </w:trPr>
        <w:tc>
          <w:tcPr>
            <w:tcW w:w="1872" w:type="dxa"/>
            <w:shd w:val="clear" w:fill="162447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FFFFFF"/>
                <w:sz w:val="17"/>
              </w:rPr>
              <w:t xml:space="preserve">Typ</w:t>
            </w:r>
          </w:p>
        </w:tc>
        <w:tc>
          <w:tcPr>
            <w:tcW w:w="4118" w:type="dxa"/>
            <w:shd w:val="clear" w:fill="162447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FFFFFF"/>
                <w:sz w:val="17"/>
              </w:rPr>
              <w:t xml:space="preserve">Zmiana</w:t>
            </w:r>
          </w:p>
        </w:tc>
        <w:tc>
          <w:tcPr>
            <w:tcW w:w="3370" w:type="dxa"/>
            <w:shd w:val="clear" w:fill="162447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FFFFFF"/>
                <w:sz w:val="17"/>
              </w:rPr>
              <w:t xml:space="preserve">Efekt / uzasadnienie</w:t>
            </w:r>
          </w:p>
        </w:tc>
      </w:tr>
      <w:tr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0F7A24"/>
              </w:rPr>
              <w:t xml:space="preserve">[NOWOŚĆ] </w:t>
            </w:r>
          </w:p>
        </w:tc>
        <w:tc>
          <w:tcPr>
            <w:tcW w:w="4118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Utworzenie osobnego wariantu II stopnia (4 pliki) na bazie I stopnia</w:t>
            </w:r>
          </w:p>
        </w:tc>
        <w:tc>
          <w:tcPr>
            <w:tcW w:w="337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Odmienna struktura „Wykształcenia" wymagała rozdzielenia</w:t>
            </w:r>
          </w:p>
        </w:tc>
      </w:tr>
      <w:tr>
        <w:tc>
          <w:tcPr>
            <w:tcW w:w="1872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0F7A24"/>
              </w:rPr>
              <w:t xml:space="preserve">[NOWOŚĆ] </w:t>
            </w:r>
          </w:p>
        </w:tc>
        <w:tc>
          <w:tcPr>
            <w:tcW w:w="4118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Dropdown „Poziom studiów" na ekranie startowym (domyślnie II stopnia)</w:t>
            </w:r>
          </w:p>
        </w:tc>
        <w:tc>
          <w:tcPr>
            <w:tcW w:w="3370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Rozróżnienie ścieżki rekrutacji</w:t>
            </w:r>
          </w:p>
        </w:tc>
      </w:tr>
      <w:tr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91653F"/>
              </w:rPr>
              <w:t xml:space="preserve">[ZMIANA] </w:t>
            </w:r>
          </w:p>
        </w:tc>
        <w:tc>
          <w:tcPr>
            <w:tcW w:w="4118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Przebudowa „Wykształcenia": usunięcie matury, przepływ dyplomowy</w:t>
            </w:r>
          </w:p>
        </w:tc>
        <w:tc>
          <w:tcPr>
            <w:tcW w:w="337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Dostosowanie do wymogów II stopnia</w:t>
            </w:r>
          </w:p>
        </w:tc>
      </w:tr>
      <w:tr>
        <w:tc>
          <w:tcPr>
            <w:tcW w:w="1872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0F7A24"/>
              </w:rPr>
              <w:t xml:space="preserve">[NOWOŚĆ] </w:t>
            </w:r>
          </w:p>
        </w:tc>
        <w:tc>
          <w:tcPr>
            <w:tcW w:w="4118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Przełącznik „Rodzaj uczelni" + pole „Kraj uczelni" dla zagranicznej</w:t>
            </w:r>
          </w:p>
        </w:tc>
        <w:tc>
          <w:tcPr>
            <w:tcW w:w="3370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Obsługa dyplomów zagranicznych</w:t>
            </w:r>
          </w:p>
        </w:tc>
      </w:tr>
      <w:tr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0F7A24"/>
              </w:rPr>
              <w:t xml:space="preserve">[NOWOŚĆ] </w:t>
            </w:r>
          </w:p>
        </w:tc>
        <w:tc>
          <w:tcPr>
            <w:tcW w:w="4118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Checkbox „ukończyłem w ALK" z automatycznym pobieraniem danych</w:t>
            </w:r>
          </w:p>
        </w:tc>
        <w:tc>
          <w:tcPr>
            <w:tcW w:w="337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Zastępuje checkbox oczekiwania na maturę</w:t>
            </w:r>
          </w:p>
        </w:tc>
      </w:tr>
      <w:tr>
        <w:tc>
          <w:tcPr>
            <w:tcW w:w="1872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A00332"/>
              </w:rPr>
              <w:t xml:space="preserve">[USUNIĘCIE] </w:t>
            </w:r>
          </w:p>
        </w:tc>
        <w:tc>
          <w:tcPr>
            <w:tcW w:w="4118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Sekcja „Drugi i trzeci wybór studiów" (checkboxy + pola)</w:t>
            </w:r>
          </w:p>
        </w:tc>
        <w:tc>
          <w:tcPr>
            <w:tcW w:w="3370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Nieaktualna dla II stopnia</w:t>
            </w:r>
          </w:p>
        </w:tc>
      </w:tr>
      <w:tr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A00332"/>
              </w:rPr>
              <w:t xml:space="preserve">[USUNIĘCIE] </w:t>
            </w:r>
          </w:p>
        </w:tc>
        <w:tc>
          <w:tcPr>
            <w:tcW w:w="4118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Blok „Certyfikat znajomości j. angielskiego" z Osiągnięć</w:t>
            </w:r>
          </w:p>
        </w:tc>
        <w:tc>
          <w:tcPr>
            <w:tcW w:w="337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Wymóg zniesiony</w:t>
            </w:r>
          </w:p>
        </w:tc>
      </w:tr>
      <w:tr>
        <w:tc>
          <w:tcPr>
            <w:tcW w:w="1872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91653F"/>
              </w:rPr>
              <w:t xml:space="preserve">[ZMIANA] </w:t>
            </w:r>
          </w:p>
        </w:tc>
        <w:tc>
          <w:tcPr>
            <w:tcW w:w="4118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Checkbox ALK ukrywany przy uczelni zagranicznej</w:t>
            </w:r>
          </w:p>
        </w:tc>
        <w:tc>
          <w:tcPr>
            <w:tcW w:w="3370" w:type="dxa"/>
            <w:shd w:val="clear" w:fill="F8F9FB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Absolwent zagr. uczelni nie pobierze danych z ALK</w:t>
            </w:r>
          </w:p>
        </w:tc>
      </w:tr>
      <w:tr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0F7A24"/>
              </w:rPr>
              <w:t xml:space="preserve">[NOWOŚĆ] </w:t>
            </w:r>
          </w:p>
        </w:tc>
        <w:tc>
          <w:tcPr>
            <w:tcW w:w="4118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Pola uploadu tłumaczeń dyplomu i suplementu (tylko uczelnia zagr.)</w:t>
            </w:r>
          </w:p>
        </w:tc>
        <w:tc>
          <w:tcPr>
            <w:tcW w:w="337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Roboto" w:hAnsi="Roboto"/>
                <w:color w:val="162447"/>
                <w:sz w:val="19"/>
              </w:rPr>
              <w:t xml:space="preserve">Wymóg formalny dla dyplomów zagranicznych</w:t>
            </w:r>
          </w:p>
        </w:tc>
      </w:tr>
    </w:tbl>
    <w:p>
      <w:pPr>
        <w:spacing w:after="80" w:line="264" w:lineRule="auto"/>
      </w:pPr>
      <w:r>
        <w:rPr>
          <w:rFonts w:ascii="Roboto" w:hAnsi="Roboto"/>
        </w:rPr>
        <w:t xml:space="preserve"/>
      </w:r>
    </w:p>
    <w:p>
      <w:pPr>
        <w:pBdr>
          <w:top w:val="single" w:sz="18" w:space="6" w:color="030928"/>
        </w:pBdr>
        <w:spacing w:before="360" w:after="140"/>
      </w:pPr>
      <w:r>
        <w:rPr>
          <w:b/>
          <w:rFonts w:ascii="Roboto" w:hAnsi="Roboto"/>
          <w:color w:val="030928"/>
          <w:sz w:val="34"/>
        </w:rPr>
        <w:t xml:space="preserve">7. Zakres do wyceny — lista kontrolna</w:t>
      </w:r>
    </w:p>
    <w:p>
      <w:pPr>
        <w:spacing w:after="120" w:line="264" w:lineRule="auto"/>
      </w:pPr>
      <w:r>
        <w:rPr>
          <w:rFonts w:ascii="Roboto" w:hAnsi="Roboto"/>
          <w:color w:val="162447"/>
          <w:sz w:val="20"/>
        </w:rPr>
        <w:t xml:space="preserve">Elementy do oszacowania w implementacji produkcyjnej:</w:t>
      </w:r>
    </w:p>
    <w:p>
      <w:pPr>
        <w:pStyle w:val="ListPara"/>
        <w:numPr>
          <w:ilvl w:val="0"/>
          <w:numId w:val="1"/>
        </w:numPr>
        <w:spacing w:after="60" w:line="264" w:lineRule="auto"/>
      </w:pPr>
      <w:r>
        <w:rPr>
          <w:rFonts w:ascii="Roboto" w:hAnsi="Roboto"/>
          <w:color w:val="162447"/>
          <w:sz w:val="20"/>
        </w:rPr>
        <w:t xml:space="preserve">Integracja obu wariantów (I i II stopień) z systemem rekrutacyjnym ALK oraz odczyt danych dyplomu absolwenta ALK.</w:t>
      </w:r>
    </w:p>
    <w:p>
      <w:pPr>
        <w:pStyle w:val="ListPara"/>
        <w:numPr>
          <w:ilvl w:val="0"/>
          <w:numId w:val="1"/>
        </w:numPr>
        <w:spacing w:after="60" w:line="264" w:lineRule="auto"/>
      </w:pPr>
      <w:r>
        <w:rPr>
          <w:rFonts w:ascii="Roboto" w:hAnsi="Roboto"/>
          <w:color w:val="162447"/>
          <w:sz w:val="20"/>
        </w:rPr>
        <w:t xml:space="preserve">Walidacja pól (format, wymagalność warunkowa, PESEL / data urodzenia, kody pocztowe, daty).</w:t>
      </w:r>
    </w:p>
    <w:p>
      <w:pPr>
        <w:pStyle w:val="ListPara"/>
        <w:numPr>
          <w:ilvl w:val="0"/>
          <w:numId w:val="1"/>
        </w:numPr>
        <w:spacing w:after="60" w:line="264" w:lineRule="auto"/>
      </w:pPr>
      <w:r>
        <w:rPr>
          <w:rFonts w:ascii="Roboto" w:hAnsi="Roboto"/>
          <w:color w:val="162447"/>
          <w:sz w:val="20"/>
        </w:rPr>
        <w:t xml:space="preserve">Obsługa uploadu i przechowywania plików (dyplom, suplement, tłumaczenia, dokumenty dodatkowe) — limity, formaty, antywirus.</w:t>
      </w:r>
    </w:p>
    <w:p>
      <w:pPr>
        <w:pStyle w:val="ListPara"/>
        <w:numPr>
          <w:ilvl w:val="0"/>
          <w:numId w:val="1"/>
        </w:numPr>
        <w:spacing w:after="60" w:line="264" w:lineRule="auto"/>
      </w:pPr>
      <w:r>
        <w:rPr>
          <w:rFonts w:ascii="Roboto" w:hAnsi="Roboto"/>
          <w:color w:val="162447"/>
          <w:sz w:val="20"/>
        </w:rPr>
        <w:t xml:space="preserve">Logika warunkowej widoczności i blokady pól (§5) po stronie klienta i serwera.</w:t>
      </w:r>
    </w:p>
    <w:p>
      <w:pPr>
        <w:pStyle w:val="ListPara"/>
        <w:numPr>
          <w:ilvl w:val="0"/>
          <w:numId w:val="1"/>
        </w:numPr>
        <w:spacing w:after="60" w:line="264" w:lineRule="auto"/>
      </w:pPr>
      <w:r>
        <w:rPr>
          <w:rFonts w:ascii="Roboto" w:hAnsi="Roboto"/>
          <w:color w:val="162447"/>
          <w:sz w:val="20"/>
        </w:rPr>
        <w:t xml:space="preserve">Integracja z bramką płatności (online / BLIK / przelew) oraz generowanie tytułu przelewu.</w:t>
      </w:r>
    </w:p>
    <w:p>
      <w:pPr>
        <w:pStyle w:val="ListPara"/>
        <w:numPr>
          <w:ilvl w:val="0"/>
          <w:numId w:val="1"/>
        </w:numPr>
        <w:spacing w:after="60" w:line="264" w:lineRule="auto"/>
      </w:pPr>
      <w:r>
        <w:rPr>
          <w:rFonts w:ascii="Roboto" w:hAnsi="Roboto"/>
          <w:color w:val="162447"/>
          <w:sz w:val="20"/>
        </w:rPr>
        <w:t xml:space="preserve">Ekran podsumowania: agregacja danych, lista braków, blokada wysyłki, potwierdzenie zgłoszenia.</w:t>
      </w:r>
    </w:p>
    <w:p>
      <w:pPr>
        <w:pStyle w:val="ListPara"/>
        <w:numPr>
          <w:ilvl w:val="0"/>
          <w:numId w:val="1"/>
        </w:numPr>
        <w:spacing w:after="60" w:line="264" w:lineRule="auto"/>
      </w:pPr>
      <w:r>
        <w:rPr>
          <w:rFonts w:ascii="Roboto" w:hAnsi="Roboto"/>
          <w:color w:val="162447"/>
          <w:sz w:val="20"/>
        </w:rPr>
        <w:t xml:space="preserve">Responsywność (osobne układy desktop/mobile) i dostępność (WCAG).</w:t>
      </w:r>
    </w:p>
    <w:p>
      <w:pPr>
        <w:pStyle w:val="ListPara"/>
        <w:numPr>
          <w:ilvl w:val="0"/>
          <w:numId w:val="1"/>
        </w:numPr>
        <w:spacing w:after="60" w:line="264" w:lineRule="auto"/>
      </w:pPr>
      <w:r>
        <w:rPr>
          <w:rFonts w:ascii="Roboto" w:hAnsi="Roboto"/>
          <w:color w:val="162447"/>
          <w:sz w:val="20"/>
        </w:rPr>
        <w:t xml:space="preserve">Wielojęzyczność treści (jeśli wymagana dla kandydatów zagranicznych).</w:t>
      </w:r>
    </w:p>
    <w:tbl>
      <w:tblPr>
        <w:tblW w:w="9360" w:type="dxa"/>
        <w:tblBorders>
          <w:left w:val="single" w:sz="24" w:color="91653F"/>
        </w:tblBorders>
        <w:tblLayout w:type="fixed"/>
      </w:tblPr>
      <w:tblGrid>
        <w:gridCol w:w="9360"/>
      </w:tblGrid>
      <w:tr>
        <w:tc>
          <w:tcPr>
            <w:tcW w:w="9360" w:type="dxa"/>
            <w:shd w:val="clear" w:fill="F2F5FF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rFonts w:ascii="Roboto" w:hAnsi="Roboto"/>
                <w:color w:val="162447"/>
              </w:rPr>
              <w:t xml:space="preserve">Uwaga dla wyceny: </w:t>
            </w:r>
            <w:r>
              <w:rPr>
                <w:rFonts w:ascii="Roboto" w:hAnsi="Roboto"/>
                <w:color w:val="162447"/>
              </w:rPr>
              <w:t xml:space="preserve">wersje desktop i mobilna współdzielą logikę biznesową, lecz mają odrębne szablony układu — każda zmiana pola wymaga aktualizacji w obu. Warto rozważyć wspólną warstwę logiki/walidacji, aby ograniczyć duplikację.</w:t>
            </w:r>
          </w:p>
        </w:tc>
      </w:tr>
    </w:tbl>
    <w:p>
      <w:pPr>
        <w:spacing w:after="120" w:line="264" w:lineRule="auto"/>
      </w:pPr>
      <w:r>
        <w:rPr>
          <w:rFonts w:ascii="Roboto" w:hAnsi="Roboto"/>
        </w:rPr>
        <w:t xml:space="preserve"/>
      </w:r>
    </w:p>
    <w:p>
      <w:pPr>
        <w:spacing w:after="0" w:line="264" w:lineRule="auto"/>
      </w:pPr>
      <w:r>
        <w:rPr>
          <w:rFonts w:ascii="Roboto" w:hAnsi="Roboto"/>
          <w:color w:val="89898A"/>
          <w:sz w:val="16"/>
        </w:rPr>
        <w:t xml:space="preserve">Akademia Leona Koźmińskiego — dokument wewnętrzny · wersja robocza, lipiec 2026</w:t>
      </w:r>
    </w:p>
    <w:sectPr>
      <w:pgSz w:w="11906" w:h="16838"/>
      <w:pgMar w:top="1200" w:right="1200" w:bottom="1200" w:left="120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Roboto" w:hAnsi="Roboto"/>
        <w:sz w:val="20"/>
        <w:szCs w:val="20"/>
      </w:rPr>
    </w:rPrDefault>
  </w:docDefaults>
  <w:style w:type="paragraph" w:default="1" w:styleId="Normal">
    <w:name w:val="Normal"/>
  </w:style>
  <w:style w:type="paragraph" w:styleId="ListPara">
    <w:name w:val="List Paragraph"/>
    <w:pPr>
      <w:contextualSpacing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