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0D" w:rsidRDefault="00B4680D" w:rsidP="00D565CB">
      <w:pPr>
        <w:spacing w:before="100" w:beforeAutospacing="1" w:after="100" w:afterAutospacing="1" w:line="240" w:lineRule="auto"/>
      </w:pPr>
      <w:r>
        <w:t xml:space="preserve">Классическая берет свое начало в глубокой древности и представляют собой сокрытие информации «вручную». Например, использование симпатических чернил, </w:t>
      </w:r>
      <w:r w:rsidRPr="005B67D2">
        <w:t>запись на боковой стороне колоды карт, расположенных в условленном порядке</w:t>
      </w:r>
      <w:r>
        <w:t xml:space="preserve">, </w:t>
      </w:r>
      <w:r w:rsidRPr="005B67D2">
        <w:t>трафареты, которые, будучи положенными на текст, оставляют видимыми только значащие буквы</w:t>
      </w:r>
      <w:r>
        <w:t xml:space="preserve"> и т.д. Компьютерная стеганография — направление классической стеганографии, основанное на особенностях компьютерной платформы. Например, и</w:t>
      </w:r>
      <w:r w:rsidRPr="00F36F15">
        <w:t>спользование зарезервированных полей компьютерных форматов файлов</w:t>
      </w:r>
      <w:r>
        <w:t>, с</w:t>
      </w:r>
      <w:r w:rsidRPr="00F36F15">
        <w:t>окрытие информации в неиспользуемых местах гибких дисков</w:t>
      </w:r>
      <w:r>
        <w:t>, и</w:t>
      </w:r>
      <w:r w:rsidRPr="00F36F15">
        <w:t>спользование особых свойств полей форматов, которые не отображаются на экране</w:t>
      </w:r>
      <w:r>
        <w:t xml:space="preserve"> и и</w:t>
      </w:r>
      <w:r w:rsidRPr="00F36F15">
        <w:t>спользование особенностей файловых систем</w:t>
      </w:r>
      <w:r>
        <w:t xml:space="preserve">. </w:t>
      </w:r>
      <w:r w:rsidRPr="004042F8">
        <w:t>Цифровая стеганография 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</w:t>
      </w:r>
      <w:bookmarkStart w:id="0" w:name="_GoBack"/>
      <w:bookmarkEnd w:id="0"/>
    </w:p>
    <w:p w:rsidR="00D565CB" w:rsidRPr="005957B7" w:rsidRDefault="00D565CB" w:rsidP="00D565CB">
      <w:pPr>
        <w:spacing w:before="100" w:beforeAutospacing="1" w:after="100" w:afterAutospacing="1" w:line="240" w:lineRule="auto"/>
      </w:pPr>
      <w:r w:rsidRPr="005957B7">
        <w:t>Основы вейвлет-анализа были разработаны в середине 80-х годов Гроссманом и Морле как альтернатива преобразованию Фурье для исследования временных (пространственных) рядов с выраженной неоднородностью. В отличие от преобразования Фурье, локализующего частоты, но не дающего временного разрешения процесса</w:t>
      </w:r>
      <w:r>
        <w:t>,</w:t>
      </w:r>
      <w:r w:rsidRPr="005957B7">
        <w:t xml:space="preserve"> вейвлет-преобразование, обладающее самонастраивающимся подвижным частотно-временным окном, одинаково хорошо выявляет как низкочастотные, так и высокочастотные характеристики сигнала на разных временных масштабах. По этой причине вейвлет-анализ часто сравнивают с "математическим микроскопом", вскрывающим внутреннюю структуру существенно неоднородных объектов.</w:t>
      </w:r>
    </w:p>
    <w:p w:rsidR="000C1A31" w:rsidRDefault="000C1A31"/>
    <w:p w:rsidR="00366ADF" w:rsidRDefault="00366ADF" w:rsidP="00366ADF">
      <w:pPr>
        <w:rPr>
          <w:shd w:val="clear" w:color="auto" w:fill="FFFFFF"/>
        </w:rPr>
      </w:pPr>
      <w:r>
        <w:rPr>
          <w:shd w:val="clear" w:color="auto" w:fill="FFFFFF"/>
        </w:rPr>
        <w:t>Пусть имеется одномерный дискретный входной сигнал </w:t>
      </w:r>
      <w:r w:rsidRPr="00681C68">
        <w:rPr>
          <w:i/>
          <w:shd w:val="clear" w:color="auto" w:fill="FFFFFF"/>
          <w:lang w:val="en-US"/>
        </w:rPr>
        <w:t>S</w:t>
      </w:r>
      <w:r>
        <w:rPr>
          <w:shd w:val="clear" w:color="auto" w:fill="FFFFFF"/>
        </w:rPr>
        <w:t>. Каждой паре соседних элементов ставятся в соответствие два числа: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2i+1</m:t>
                </m:r>
              </m:sub>
            </m:sSub>
          </m:num>
          <m:den>
            <m:r>
              <w:rPr>
                <w:rFonts w:ascii="Cambria Math" w:hAnsi="Cambria Math"/>
                <w:shd w:val="clear" w:color="auto" w:fill="FFFFFF"/>
              </w:rPr>
              <m:t>2</m:t>
            </m:r>
          </m:den>
        </m:f>
      </m:oMath>
      <w:r w:rsidRPr="00681C68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2i+1</m:t>
                </m:r>
              </m:sub>
            </m:sSub>
          </m:num>
          <m:den>
            <m:r>
              <w:rPr>
                <w:rFonts w:ascii="Cambria Math" w:hAnsi="Cambria Math"/>
                <w:shd w:val="clear" w:color="auto" w:fill="FFFFFF"/>
              </w:rPr>
              <m:t>2</m:t>
            </m:r>
          </m:den>
        </m:f>
      </m:oMath>
      <w:r w:rsidRPr="00681C68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Повторяя данную операцию для каждого элемента исходного сигнала, на выходе получают два сигнала, один из которых является аппроксимированной версией входного сигнала —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shd w:val="clear" w:color="auto" w:fill="FFFFFF"/>
        </w:rPr>
        <w:t>, а второй содержит детализирующую информацию, необходимую для восстановления исходного сигнала. Аналогично, преобразование Хаара может быть применено к полученному сигналу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shd w:val="clear" w:color="auto" w:fill="FFFFFF"/>
        </w:rPr>
        <w:t> снова и тогда это уже будет преобразование Хаара второго уровня. Применять преобразование к коэффициентам аппроксимации можно до тех пор, пока их не останется меньше двух</w:t>
      </w:r>
      <w:r w:rsidRPr="00A71730">
        <w:rPr>
          <w:shd w:val="clear" w:color="auto" w:fill="FFFFFF"/>
        </w:rPr>
        <w:t>.</w:t>
      </w:r>
    </w:p>
    <w:p w:rsidR="000E7341" w:rsidRDefault="000E7341" w:rsidP="000E7341">
      <w:pPr>
        <w:rPr>
          <w:shd w:val="clear" w:color="auto" w:fill="FFFFFF"/>
        </w:rPr>
      </w:pPr>
      <w:r>
        <w:rPr>
          <w:shd w:val="clear" w:color="auto" w:fill="FFFFFF"/>
        </w:rPr>
        <w:t>В итоге получается ступенчатое разложение, в котором коэффициенты детализации сохраняются, а коэффициенты аппроксимации раскладываются на коэффициенты следующего уровня (рис. 3).</w:t>
      </w:r>
    </w:p>
    <w:p w:rsidR="00366ADF" w:rsidRDefault="000E7341">
      <w:r>
        <w:lastRenderedPageBreak/>
        <w:t>Значения коэффициентов детализации достаточно малы. Поэтому в случае, если мы хотим сжать изображение, можно ими пренебречь.</w:t>
      </w:r>
    </w:p>
    <w:p w:rsidR="000E7341" w:rsidRDefault="000E7341"/>
    <w:p w:rsidR="000E7341" w:rsidRDefault="000E7341" w:rsidP="000E7341">
      <w:pPr>
        <w:rPr>
          <w:shd w:val="clear" w:color="auto" w:fill="FFFFFF"/>
        </w:rPr>
      </w:pPr>
      <w:r>
        <w:rPr>
          <w:shd w:val="clear" w:color="auto" w:fill="FFFFFF"/>
        </w:rPr>
        <w:t>Двумерное преобразование Хаара — это не что иное, как композиция одномерных преобразований Хаара. Пусть двумерный входной сигнал представляется матрицей </w:t>
      </w:r>
      <w:r w:rsidRPr="00681C68">
        <w:rPr>
          <w:i/>
          <w:shd w:val="clear" w:color="auto" w:fill="FFFFFF"/>
          <w:lang w:val="en-US"/>
        </w:rPr>
        <w:t>S</w:t>
      </w:r>
      <w:r>
        <w:rPr>
          <w:shd w:val="clear" w:color="auto" w:fill="FFFFFF"/>
        </w:rPr>
        <w:t>. После применения одномерного преобразования Хаара к каждой строке матрицы </w:t>
      </w:r>
      <w:r w:rsidRPr="00681C68">
        <w:rPr>
          <w:i/>
          <w:shd w:val="clear" w:color="auto" w:fill="FFFFFF"/>
          <w:lang w:val="en-US"/>
        </w:rPr>
        <w:t>S</w:t>
      </w:r>
      <w:r>
        <w:rPr>
          <w:shd w:val="clear" w:color="auto" w:fill="FFFFFF"/>
        </w:rPr>
        <w:t> получаются две новые матрицы, строки которых содержат аппроксимированную и детализирующую часть строк исходной матрицы. Аналогично к каждому столбцу полученных матриц применяют одномерное преобразование Хаара и на выходе получают четыре матрицы, одна из которых является аппроксимирующей составляющей исходного сигнала, а три оставшиеся содержат детализирующую информацию — вертикальную, горизонтальную и диагональную.</w:t>
      </w:r>
    </w:p>
    <w:p w:rsidR="000E7341" w:rsidRDefault="000E7341"/>
    <w:sectPr w:rsidR="000E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CB"/>
    <w:rsid w:val="000C1A31"/>
    <w:rsid w:val="000E7341"/>
    <w:rsid w:val="00366ADF"/>
    <w:rsid w:val="0091013C"/>
    <w:rsid w:val="00B4680D"/>
    <w:rsid w:val="00D5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7FE0"/>
  <w15:chartTrackingRefBased/>
  <w15:docId w15:val="{DB7C2802-715D-4491-8E20-7B2D9A21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5CB"/>
    <w:pPr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Sharuntsova</dc:creator>
  <cp:keywords/>
  <dc:description/>
  <cp:lastModifiedBy>Anna Sharuntsova</cp:lastModifiedBy>
  <cp:revision>1</cp:revision>
  <dcterms:created xsi:type="dcterms:W3CDTF">2020-01-20T21:19:00Z</dcterms:created>
  <dcterms:modified xsi:type="dcterms:W3CDTF">2020-01-20T23:57:00Z</dcterms:modified>
</cp:coreProperties>
</file>