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Reconstructing chromosome structure from an assembly graph</w:t>
      </w:r>
    </w:p>
    <w:p>
      <w:pPr>
        <w:spacing w:after="120"/>
      </w:pPr>
      <w:r>
        <w:rPr>
          <w:rFonts w:ascii="Calibri" w:cs="Calibri" w:eastAsia="Calibri" w:hAnsi="Calibri"/>
          <w:color w:val="666666"/>
          <w:sz w:val="24"/>
          <w:szCs w:val="24"/>
        </w:rPr>
        <w:t xml:space="preserve">Tool description and landscape review</w:t>
      </w:r>
    </w:p>
    <w:p>
      <w:pPr>
        <w:spacing w:after="60"/>
      </w:pPr>
      <w:r>
        <w:rPr>
          <w:rFonts w:ascii="Calibri" w:cs="Calibri" w:eastAsia="Calibri" w:hAnsi="Calibri"/>
          <w:color w:val="666666"/>
          <w:sz w:val="20"/>
          <w:szCs w:val="20"/>
        </w:rPr>
        <w:t xml:space="preserve">Draft for internal review — 6 August 2026</w:t>
      </w:r>
    </w:p>
    <w:p>
      <w:pPr>
        <w:spacing w:after="40"/>
      </w:pPr>
      <w:r>
        <w:rPr>
          <w:rFonts w:ascii="Calibri" w:cs="Calibri" w:eastAsia="Calibri" w:hAnsi="Calibri"/>
          <w:b/>
          <w:bCs/>
          <w:sz w:val="21"/>
          <w:szCs w:val="21"/>
        </w:rPr>
        <w:t xml:space="preserve">Status: </w:t>
      </w:r>
      <w:r>
        <w:rPr>
          <w:rFonts w:ascii="Calibri" w:cs="Calibri" w:eastAsia="Calibri" w:hAnsi="Calibri"/>
          <w:sz w:val="21"/>
          <w:szCs w:val="21"/>
        </w:rPr>
        <w:t xml:space="preserve">internal working document. Contains claims about other people’s software and about the novelty of this work. Both need Anna’s review before any of it goes to collaborators, a funder or a journal.</w:t>
      </w:r>
    </w:p>
    <w:p>
      <w:pPr>
        <w:pBdr>
          <w:bottom w:val="single" w:color="CCCCCC" w:sz="6"/>
        </w:pBdr>
        <w:spacing w:after="160" w:before="60"/>
      </w:pPr>
    </w:p>
    <w:p>
      <w:pPr>
        <w:spacing w:after="20"/>
      </w:pPr>
      <w:r>
        <w:rPr>
          <w:rFonts w:ascii="Calibri" w:cs="Calibri" w:eastAsia="Calibri" w:hAnsi="Calibri"/>
          <w:b/>
          <w:bCs/>
          <w:sz w:val="22"/>
          <w:szCs w:val="22"/>
        </w:rPr>
        <w:t xml:space="preserve">Contents</w:t>
      </w:r>
    </w:p>
    <w:p>
      <w:pPr>
        <w:spacing w:after="80"/>
      </w:pPr>
      <w:r>
        <w:rPr>
          <w:rFonts w:ascii="Calibri" w:cs="Calibri" w:eastAsia="Calibri" w:hAnsi="Calibri"/>
          <w:i/>
          <w:iCs/>
          <w:color w:val="888888"/>
          <w:sz w:val="17"/>
          <w:szCs w:val="17"/>
        </w:rPr>
        <w:t xml:space="preserve">(in Word: right-click and choose Update Field to populate)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t xml:space="preserve">1. Purpose</w:t>
      </w:r>
    </w:p>
    <w:p>
      <w:pPr>
        <w:spacing w:after="120"/>
      </w:pPr>
      <w:r>
        <w:rPr>
          <w:rFonts w:ascii="Calibri" w:cs="Calibri" w:eastAsia="Calibri" w:hAnsi="Calibri"/>
          <w:sz w:val="21"/>
          <w:szCs w:val="21"/>
        </w:rPr>
        <w:t xml:space="preserve">We usually begin with a hypothesis about a genome’s chromosome structure — say four linear nuclear chromosomes and one circular mitochondrial genome. We assemble reads into contigs and get an assembly graph. That graph is typically tangled, with segments joining up at repeat regions. The problem is to work back from the tangle to a defensible hypothesis about the real chromosome structure.</w:t>
      </w:r>
    </w:p>
    <w:p>
      <w:pPr>
        <w:spacing w:after="120"/>
      </w:pPr>
      <w:r>
        <w:rPr>
          <w:rFonts w:ascii="Calibri" w:cs="Calibri" w:eastAsia="Calibri" w:hAnsi="Calibri"/>
          <w:sz w:val="21"/>
          <w:szCs w:val="21"/>
        </w:rPr>
        <w:t xml:space="preserve">The assembler already emits the evidence needed to do this. Most people never look at it, because the graph is a large text file and the summary tables have undocumented column formats. This tool reads that output, reasons over it, and returns a ranked set of hypotheses together with the figures that make them checkable.</w:t>
      </w:r>
    </w:p>
    <w:p>
      <w:pPr>
        <w:pStyle w:val="Heading1"/>
        <w:spacing w:after="130" w:before="260"/>
      </w:pPr>
      <w:r>
        <w:t xml:space="preserve">2. What the tool does</w:t>
      </w:r>
    </w:p>
    <w:p>
      <w:pPr>
        <w:spacing w:after="120"/>
      </w:pPr>
      <w:r>
        <w:rPr>
          <w:rFonts w:ascii="Calibri" w:cs="Calibri" w:eastAsia="Calibri" w:hAnsi="Calibri"/>
          <w:sz w:val="21"/>
          <w:szCs w:val="21"/>
        </w:rPr>
        <w:t xml:space="preserve">Two entry points, chosen by what is available.</w:t>
      </w:r>
    </w:p>
    <w:p>
      <w:pPr>
        <w:pStyle w:val="ListParagraph"/>
        <w:numPr>
          <w:ilvl w:val="0"/>
          <w:numId w:val="2"/>
        </w:numPr>
        <w:spacing w:after="70"/>
      </w:pPr>
      <w:r>
        <w:rPr>
          <w:rFonts w:ascii="Calibri" w:cs="Calibri" w:eastAsia="Calibri" w:hAnsi="Calibri"/>
          <w:sz w:val="21"/>
          <w:szCs w:val="21"/>
        </w:rPr>
        <w:t xml:space="preserve">Graph-first: an assembly graph alone (plus optional Flye assembly_info.txt). No chromosome-level assembly is assumed.</w:t>
      </w:r>
    </w:p>
    <w:p>
      <w:pPr>
        <w:pStyle w:val="ListParagraph"/>
        <w:numPr>
          <w:ilvl w:val="0"/>
          <w:numId w:val="2"/>
        </w:numPr>
        <w:spacing w:after="70"/>
      </w:pPr>
      <w:r>
        <w:rPr>
          <w:rFonts w:ascii="Calibri" w:cs="Calibri" w:eastAsia="Calibri" w:hAnsi="Calibri"/>
          <w:sz w:val="21"/>
          <w:szCs w:val="21"/>
        </w:rPr>
        <w:t xml:space="preserve">Assembled: a FASTA or .fai plus a graph, where the chromosomes already exist and the question is which repeats connect them.</w:t>
      </w:r>
    </w:p>
    <w:p>
      <w:pPr>
        <w:spacing w:after="160"/>
      </w:pPr>
      <w:r>
        <w:rPr>
          <w:rFonts w:ascii="Calibri" w:cs="Calibri" w:eastAsia="Calibri" w:hAnsi="Calibri"/>
          <w:sz w:val="21"/>
          <w:szCs w:val="21"/>
        </w:rPr>
        <w:t xml:space="preserve">The processing steps are the same in both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Input</w:t>
            </w:r>
          </w:p>
        </w:tc>
        <w:tc>
          <w:tcPr>
            <w:tcW w:type="dxa" w:w="33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Action</w:t>
            </w:r>
          </w:p>
        </w:tc>
        <w:tc>
          <w:tcPr>
            <w:tcW w:type="dxa" w:w="3826"/>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Output</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Assembly graph (GFA v1)</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Read segments, links and depth tags</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Graph with a read depth per segment</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Flye assembly_info.txt (optional)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Parse graph_path, preserving repeated ids within one path</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Which segments sit at contig ends versus interior</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Segment depths</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Median depth of long segments sets a single-copy baseline; divide</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Copy number per segment (1x, 2x, 67x)</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Copy number + topology</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Classify each segment</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backbone / repeat / tandem array / organelle candidate / low-coverage or foreign</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Segment sequence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Count telomere motifs; test internal periodicity</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Telomeric segments; tandem repeat unit length</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Telomere-capped ends</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Count capped versus open molecule ends</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Inferred number of linear chromosomes, as a range</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Graph topology + copy number</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Enumerate every valid set of contig joins; score each</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Ranked hypotheses, each with supporting and contradicting evidence</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PAF or AGP (optional)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Locate graph segments on assembled sequences</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Segment coordinates on each chromosome</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Per-window coverage BED (optional)</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Bin and compare against the genome median</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Coverage track; flagged depth outliers</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Classes, degree, depth</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Select segments not behaving like single-copy sequence</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Candidate FASTA plus ready-to-run BLAST commands</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BLAST results (outfmt 6)</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Attach hits to segments and to figure annotations</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Repeats named in the figure and the report</w:t>
            </w:r>
          </w:p>
        </w:tc>
      </w:tr>
      <w:tr>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All of the above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Render</w:t>
            </w:r>
          </w:p>
        </w:tc>
        <w:tc>
          <w:tcPr>
            <w:tcW w:type="dxa" w:w="3826"/>
            <w:tcMar>
              <w:top w:type="dxa" w:w="60"/>
              <w:left w:type="dxa" w:w="90"/>
              <w:bottom w:type="dxa" w:w="60"/>
              <w:right w:type="dxa" w:w="90"/>
            </w:tcMar>
          </w:tcPr>
          <w:p>
            <w:pPr>
              <w:spacing w:after="0"/>
            </w:pPr>
            <w:r>
              <w:rPr>
                <w:rFonts w:ascii="Calibri" w:cs="Calibri" w:eastAsia="Calibri" w:hAnsi="Calibri"/>
                <w:sz w:val="17"/>
                <w:szCs w:val="17"/>
              </w:rPr>
              <w:t xml:space="preserve">Paired figure, graph figure, ideogram, interactive HTML, editable config, report</w:t>
            </w:r>
          </w:p>
        </w:tc>
      </w:tr>
    </w:tbl>
    <w:p>
      <w:pPr>
        <w:spacing w:after="200" w:before="60"/>
      </w:pPr>
      <w:r>
        <w:rPr>
          <w:rFonts w:ascii="Calibri" w:cs="Calibri" w:eastAsia="Calibri" w:hAnsi="Calibri"/>
          <w:i/>
          <w:iCs/>
          <w:color w:val="666666"/>
          <w:sz w:val="17"/>
          <w:szCs w:val="17"/>
        </w:rPr>
        <w:t xml:space="preserve">Table 1. Processing steps. Only the assembly graph is required; everything marked optional degrades gracefully rather than failing.</w:t>
      </w:r>
    </w:p>
    <w:p>
      <w:pPr>
        <w:pStyle w:val="Heading2"/>
        <w:spacing w:after="130" w:before="260"/>
      </w:pPr>
      <w:r>
        <w:t xml:space="preserve">2.1 Outputs</w:t>
      </w:r>
    </w:p>
    <w:p>
      <w:pPr>
        <w:pStyle w:val="ListParagraph"/>
        <w:numPr>
          <w:ilvl w:val="0"/>
          <w:numId w:val="2"/>
        </w:numPr>
        <w:spacing w:after="70"/>
      </w:pPr>
      <w:r>
        <w:rPr>
          <w:rFonts w:ascii="Calibri" w:cs="Calibri" w:eastAsia="Calibri" w:hAnsi="Calibri"/>
          <w:sz w:val="21"/>
          <w:szCs w:val="21"/>
        </w:rPr>
        <w:t xml:space="preserve">Paired figure — assembly graph on the left, the linear chromosomes it resolves into on the right, one colour per segment across both panels, with leader lines joining a graph node to the block it became.</w:t>
      </w:r>
    </w:p>
    <w:p>
      <w:pPr>
        <w:pStyle w:val="ListParagraph"/>
        <w:numPr>
          <w:ilvl w:val="0"/>
          <w:numId w:val="2"/>
        </w:numPr>
        <w:spacing w:after="70"/>
      </w:pPr>
      <w:r>
        <w:rPr>
          <w:rFonts w:ascii="Calibri" w:cs="Calibri" w:eastAsia="Calibri" w:hAnsi="Calibri"/>
          <w:sz w:val="21"/>
          <w:szCs w:val="21"/>
        </w:rPr>
        <w:t xml:space="preserve">Assembly graph figure — redrawn with colours derived from the classification, deterministic layout, labels placed in fixed slots.</w:t>
      </w:r>
    </w:p>
    <w:p>
      <w:pPr>
        <w:pStyle w:val="ListParagraph"/>
        <w:numPr>
          <w:ilvl w:val="0"/>
          <w:numId w:val="2"/>
        </w:numPr>
        <w:spacing w:after="70"/>
      </w:pPr>
      <w:r>
        <w:rPr>
          <w:rFonts w:ascii="Calibri" w:cs="Calibri" w:eastAsia="Calibri" w:hAnsi="Calibri"/>
          <w:sz w:val="21"/>
          <w:szCs w:val="21"/>
        </w:rPr>
        <w:t xml:space="preserve">Ideogram — chromosome bars built from coloured segment blocks, with arcs marking repeats shared between chromosomes and a separate panel for sequences that fit no chromosome.</w:t>
      </w:r>
    </w:p>
    <w:p>
      <w:pPr>
        <w:pStyle w:val="ListParagraph"/>
        <w:numPr>
          <w:ilvl w:val="0"/>
          <w:numId w:val="2"/>
        </w:numPr>
        <w:spacing w:after="70"/>
      </w:pPr>
      <w:r>
        <w:rPr>
          <w:rFonts w:ascii="Calibri" w:cs="Calibri" w:eastAsia="Calibri" w:hAnsi="Calibri"/>
          <w:sz w:val="21"/>
          <w:szCs w:val="21"/>
        </w:rPr>
        <w:t xml:space="preserve">Interactive HTML — the same figure with hover detail and a sidebar of evidence.</w:t>
      </w:r>
    </w:p>
    <w:p>
      <w:pPr>
        <w:pStyle w:val="ListParagraph"/>
        <w:numPr>
          <w:ilvl w:val="0"/>
          <w:numId w:val="2"/>
        </w:numPr>
        <w:spacing w:after="70"/>
      </w:pPr>
      <w:r>
        <w:rPr>
          <w:rFonts w:ascii="Calibri" w:cs="Calibri" w:eastAsia="Calibri" w:hAnsi="Calibri"/>
          <w:sz w:val="21"/>
          <w:szCs w:val="21"/>
        </w:rPr>
        <w:t xml:space="preserve">Editable karyotype config — every call, with its evidence; edit and re-run to override any of it.</w:t>
      </w:r>
    </w:p>
    <w:p>
      <w:pPr>
        <w:pStyle w:val="ListParagraph"/>
        <w:numPr>
          <w:ilvl w:val="0"/>
          <w:numId w:val="2"/>
        </w:numPr>
        <w:spacing w:after="70"/>
      </w:pPr>
      <w:r>
        <w:rPr>
          <w:rFonts w:ascii="Calibri" w:cs="Calibri" w:eastAsia="Calibri" w:hAnsi="Calibri"/>
          <w:sz w:val="21"/>
          <w:szCs w:val="21"/>
        </w:rPr>
        <w:t xml:space="preserve">Markdown report — observations, derived estimates and hypotheses in separate sections, plus a statement of what the method cannot tell you.</w:t>
      </w:r>
    </w:p>
    <w:p>
      <w:pPr>
        <w:pStyle w:val="Heading2"/>
        <w:spacing w:after="130" w:before="260"/>
      </w:pPr>
      <w:r>
        <w:t xml:space="preserve">2.2 Design commitments</w:t>
      </w:r>
    </w:p>
    <w:p>
      <w:pPr>
        <w:spacing w:after="120"/>
      </w:pPr>
      <w:r>
        <w:rPr>
          <w:rFonts w:ascii="Calibri" w:cs="Calibri" w:eastAsia="Calibri" w:hAnsi="Calibri"/>
          <w:sz w:val="21"/>
          <w:szCs w:val="21"/>
        </w:rPr>
        <w:t xml:space="preserve">Three rules shaped the implementation and are worth stating because they are what distinguish it from a tool that simply produces an answer.</w:t>
      </w:r>
    </w:p>
    <w:p>
      <w:pPr>
        <w:pStyle w:val="ListParagraph"/>
        <w:numPr>
          <w:ilvl w:val="0"/>
          <w:numId w:val="2"/>
        </w:numPr>
        <w:spacing w:after="70"/>
      </w:pPr>
      <w:r>
        <w:rPr>
          <w:rFonts w:ascii="Calibri" w:cs="Calibri" w:eastAsia="Calibri" w:hAnsi="Calibri"/>
          <w:sz w:val="21"/>
          <w:szCs w:val="21"/>
        </w:rPr>
        <w:t xml:space="preserve">Observation, inference and hypothesis are labelled separately. Lengths, depths and links are observations. Copy number is a derived estimate. Chromosome assignment is a hypothesis. The report keeps them in different sections.</w:t>
      </w:r>
    </w:p>
    <w:p>
      <w:pPr>
        <w:pStyle w:val="ListParagraph"/>
        <w:numPr>
          <w:ilvl w:val="0"/>
          <w:numId w:val="2"/>
        </w:numPr>
        <w:spacing w:after="70"/>
      </w:pPr>
      <w:r>
        <w:rPr>
          <w:rFonts w:ascii="Calibri" w:cs="Calibri" w:eastAsia="Calibri" w:hAnsi="Calibri"/>
          <w:sz w:val="21"/>
          <w:szCs w:val="21"/>
        </w:rPr>
        <w:t xml:space="preserve">Ambiguity is declared, not resolved silently. Where a repeat joins several backbone segments, the alternatives are enumerated and ranked, and hypotheses that cannot be separated are explicitly reported as tied.</w:t>
      </w:r>
    </w:p>
    <w:p>
      <w:pPr>
        <w:pStyle w:val="ListParagraph"/>
        <w:numPr>
          <w:ilvl w:val="0"/>
          <w:numId w:val="2"/>
        </w:numPr>
        <w:spacing w:after="70"/>
      </w:pPr>
      <w:r>
        <w:rPr>
          <w:rFonts w:ascii="Calibri" w:cs="Calibri" w:eastAsia="Calibri" w:hAnsi="Calibri"/>
          <w:sz w:val="21"/>
          <w:szCs w:val="21"/>
        </w:rPr>
        <w:t xml:space="preserve">Every call carries a reason, and every unresolved call names the evidence that would settle it — typically Hi-C, a reference alignment, or reads long enough to span the bridging segment.</w:t>
      </w:r>
    </w:p>
    <w:p>
      <w:r>
        <w:br w:type="page"/>
      </w:r>
    </w:p>
    <w:p>
      <w:pPr>
        <w:pStyle w:val="Heading1"/>
        <w:spacing w:after="130" w:before="260"/>
      </w:pPr>
      <w:r>
        <w:t xml:space="preserve">3. What already exists</w:t>
      </w:r>
    </w:p>
    <w:p>
      <w:pPr>
        <w:spacing w:after="120"/>
      </w:pPr>
      <w:r>
        <w:rPr>
          <w:rFonts w:ascii="Calibri" w:cs="Calibri" w:eastAsia="Calibri" w:hAnsi="Calibri"/>
          <w:sz w:val="21"/>
          <w:szCs w:val="21"/>
        </w:rPr>
        <w:t xml:space="preserve">This section is deliberately adversarial. It was compiled by trying to prove the tool is redundant, not to justify it.</w:t>
      </w:r>
    </w:p>
    <w:p>
      <w:pPr>
        <w:spacing w:after="120"/>
      </w:pPr>
      <w:r>
        <w:rPr>
          <w:rFonts w:ascii="Calibri" w:cs="Calibri" w:eastAsia="Calibri" w:hAnsi="Calibri"/>
          <w:b/>
          <w:bCs/>
          <w:sz w:val="21"/>
          <w:szCs w:val="21"/>
        </w:rPr>
        <w:t xml:space="preserve">Verification key. </w:t>
      </w:r>
      <w:r>
        <w:rPr>
          <w:rFonts w:ascii="Calibri" w:cs="Calibri" w:eastAsia="Calibri" w:hAnsi="Calibri"/>
          <w:sz w:val="21"/>
          <w:szCs w:val="21"/>
        </w:rPr>
        <w:t xml:space="preserve">Claims below are marked </w:t>
      </w:r>
      <w:r>
        <w:rPr>
          <w:rFonts w:ascii="Calibri" w:cs="Calibri" w:eastAsia="Calibri" w:hAnsi="Calibri"/>
          <w:b/>
          <w:bCs/>
          <w:sz w:val="21"/>
          <w:szCs w:val="21"/>
        </w:rPr>
        <w:t xml:space="preserve">[V]</w:t>
      </w:r>
      <w:r>
        <w:rPr>
          <w:rFonts w:ascii="Calibri" w:cs="Calibri" w:eastAsia="Calibri" w:hAnsi="Calibri"/>
          <w:sz w:val="21"/>
          <w:szCs w:val="21"/>
        </w:rPr>
        <w:t xml:space="preserve"> where the repository source, README or paper was read directly; </w:t>
      </w:r>
      <w:r>
        <w:rPr>
          <w:rFonts w:ascii="Calibri" w:cs="Calibri" w:eastAsia="Calibri" w:hAnsi="Calibri"/>
          <w:b/>
          <w:bCs/>
          <w:sz w:val="21"/>
          <w:szCs w:val="21"/>
        </w:rPr>
        <w:t xml:space="preserve">[S]</w:t>
      </w:r>
      <w:r>
        <w:rPr>
          <w:rFonts w:ascii="Calibri" w:cs="Calibri" w:eastAsia="Calibri" w:hAnsi="Calibri"/>
          <w:sz w:val="21"/>
          <w:szCs w:val="21"/>
        </w:rPr>
        <w:t xml:space="preserve"> where the claim comes from a secondary summary and has not been confirmed first-hand; and </w:t>
      </w:r>
      <w:r>
        <w:rPr>
          <w:rFonts w:ascii="Calibri" w:cs="Calibri" w:eastAsia="Calibri" w:hAnsi="Calibri"/>
          <w:b/>
          <w:bCs/>
          <w:sz w:val="21"/>
          <w:szCs w:val="21"/>
        </w:rPr>
        <w:t xml:space="preserve">[U]</w:t>
      </w:r>
      <w:r>
        <w:rPr>
          <w:rFonts w:ascii="Calibri" w:cs="Calibri" w:eastAsia="Calibri" w:hAnsi="Calibri"/>
          <w:sz w:val="21"/>
          <w:szCs w:val="21"/>
        </w:rPr>
        <w:t xml:space="preserve"> where it could not be verified at all. Nothing in this document should be cited externally at [S] or [U] without checking it first.</w:t>
      </w:r>
    </w:p>
    <w:p>
      <w:pPr>
        <w:pStyle w:val="Heading2"/>
        <w:spacing w:after="130" w:before="260"/>
      </w:pPr>
      <w:r>
        <w:t xml:space="preserve">3.1 Assembly graph viewers</w:t>
      </w:r>
    </w:p>
    <w:p>
      <w:pPr>
        <w:spacing w:after="120"/>
      </w:pPr>
      <w:r>
        <w:rPr>
          <w:rFonts w:ascii="Calibri" w:cs="Calibri" w:eastAsia="Calibri" w:hAnsi="Calibri"/>
          <w:sz w:val="21"/>
          <w:szCs w:val="21"/>
        </w:rPr>
        <w:t xml:space="preserve">These accept a graph and draw it. None performs biological inference.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026"/>
      </w:tblGrid>
      <w:tr>
        <w:trPr>
          <w:tblHeader/>
        </w:trPr>
        <w:tc>
          <w:tcPr>
            <w:tcW w:type="dxa" w:w="15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Tool</w:t>
            </w:r>
          </w:p>
        </w:tc>
        <w:tc>
          <w:tcPr>
            <w:tcW w:type="dxa" w:w="15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Input</w:t>
            </w:r>
          </w:p>
        </w:tc>
        <w:tc>
          <w:tcPr>
            <w:tcW w:type="dxa" w:w="30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What it does</w:t>
            </w:r>
          </w:p>
        </w:tc>
        <w:tc>
          <w:tcPr>
            <w:tcW w:type="dxa" w:w="3026"/>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Where it stops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Bandage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The reference graph viewer. Colours nodes by depth; accepts a Color column in a CSV to set node colours explicitly, persisted into the saved GFA. Runs BLAST inside the GUI and highlights hits on the graph.</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No chromosome view, no copy-number inference, no telomeres, no hypotheses.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BandageNG [S]</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Most active Bandage fork. Adds Hi-C link overlay and CSV data mapping. Two independent forks exist.</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As Bandage.</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MetagenomeScope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GFA1/2, FASTG, DOT, GML, LastGraph, plus AGP and Flye assembly_info.txt</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Interactive viewer with structural pattern decomposition (bubbles, frayed ropes, chains, cyclic chains). Actively maintained, on PyPI and Bioconda.</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A viewer. No copy number, no classification, no telomeres, no ideogram.</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AGB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GFA1/2, FASTG, Graphviz, or an assembler output directory</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Graph browser. In reference-based mode, colours edges by their alignments to a reference — "same colors represent the same chromosomes". Classifies edges as repetitive above 1.75x median graph coverage.</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Colours graph edges only; draws no linear chromosome view. Requires a reference to assign chromosomes.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gfatools, gaftools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 rGFA/GAF</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Graph manipulation, subsetting, format conversion.</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No inference, no drawing.</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gfastats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FASTA/FASTQ/GFA1/2</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Fast stats and manipulation in one internal model.</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No visualisation. Worth using rather than rewriting our parsers.</w:t>
            </w:r>
          </w:p>
        </w:tc>
      </w:tr>
    </w:tbl>
    <w:p>
      <w:pPr>
        <w:pStyle w:val="Heading2"/>
        <w:spacing w:after="130" w:before="260"/>
      </w:pPr>
      <w:r>
        <w:t xml:space="preserve">3.2 Assembly assessment tools (FASTA input)</w:t>
      </w:r>
    </w:p>
    <w:p>
      <w:pPr>
        <w:spacing w:after="120"/>
      </w:pPr>
      <w:r>
        <w:rPr>
          <w:rFonts w:ascii="Calibri" w:cs="Calibri" w:eastAsia="Calibri" w:hAnsi="Calibri"/>
          <w:sz w:val="21"/>
          <w:szCs w:val="21"/>
        </w:rPr>
        <w:t xml:space="preserve">These do the biological reasoning we want, but are structurally blind to the graph — so they cannot see copy number from segment depth, self-loops, branch degree, or component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026"/>
      </w:tblGrid>
      <w:tr>
        <w:trPr>
          <w:tblHeader/>
        </w:trPr>
        <w:tc>
          <w:tcPr>
            <w:tcW w:type="dxa" w:w="15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Tool</w:t>
            </w:r>
          </w:p>
        </w:tc>
        <w:tc>
          <w:tcPr>
            <w:tcW w:type="dxa" w:w="15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Input</w:t>
            </w:r>
          </w:p>
        </w:tc>
        <w:tc>
          <w:tcPr>
            <w:tcW w:type="dxa" w:w="30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What it does</w:t>
            </w:r>
          </w:p>
        </w:tc>
        <w:tc>
          <w:tcPr>
            <w:tcW w:type="dxa" w:w="3026"/>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Where it stops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Tapestry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Assembly FASTA + long reads</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Interactive report: per-contig GC, median depth, per-window ploidy, telomere counts at both contig ends, contig-contig and read alignments. Aimed squarely at "which contigs are complete chromosomes, which are junk, which are organelles".</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No GFA at all. Never emits a chromosome number. Its Group column, where chromosome grouping would happen, is a manual free-text field. Scoped to &lt;50 Mb and &lt;500 contigs. Maintenance status unclear.</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BlobToolKit / blobtools2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Assembly FASTA + BLAST/Diamond + read mapping + BUSCO</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GC, length, coverage and BLAST-derived taxonomy per contig; CLI filtering and a web viewer. Resolves conflicting hits by highest summed bitscore.</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No graph. No ideogram. This is the contamination workflow we should hand off to rather than reimplement.</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tidk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FASTA</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Telomeric repeat identification. Its explore command discovers the repeat motif de novo rather than assuming it; search does windowed counts; find uses a clade motif database.</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Does not infer a chromosome number. No graph, no copy number, no ideogram.</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quarTeT [V]</w:t>
            </w:r>
          </w:p>
        </w:tc>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Chromosome-level FASTA, or contigs plus a reference</w:t>
            </w:r>
          </w:p>
        </w:tc>
        <w:tc>
          <w:tcPr>
            <w:tcW w:type="dxa" w:w="3000"/>
            <w:tcMar>
              <w:top w:type="dxa" w:w="60"/>
              <w:left w:type="dxa" w:w="90"/>
              <w:bottom w:type="dxa" w:w="60"/>
              <w:right w:type="dxa" w:w="90"/>
            </w:tcMar>
          </w:tcPr>
          <w:p>
            <w:pPr>
              <w:spacing w:after="0"/>
            </w:pPr>
            <w:r>
              <w:rPr>
                <w:rFonts w:ascii="Calibri" w:cs="Calibri" w:eastAsia="Calibri" w:hAnsi="Calibri"/>
                <w:sz w:val="17"/>
                <w:szCs w:val="17"/>
              </w:rPr>
              <w:t xml:space="preserve">TeloExplorer finds the most enriched terminal repeat and reports monomer and count per chromosome. AssemblyMapper builds chromosomes from contigs.</w:t>
            </w:r>
          </w:p>
        </w:tc>
        <w:tc>
          <w:tcPr>
            <w:tcW w:type="dxa" w:w="3026"/>
            <w:tcMar>
              <w:top w:type="dxa" w:w="60"/>
              <w:left w:type="dxa" w:w="90"/>
              <w:bottom w:type="dxa" w:w="60"/>
              <w:right w:type="dxa" w:w="90"/>
            </w:tcMar>
          </w:tcPr>
          <w:p>
            <w:pPr>
              <w:spacing w:after="0"/>
            </w:pPr>
            <w:r>
              <w:rPr>
                <w:rFonts w:ascii="Calibri" w:cs="Calibri" w:eastAsia="Calibri" w:hAnsi="Calibri"/>
                <w:sz w:val="17"/>
                <w:szCs w:val="17"/>
              </w:rPr>
              <w:t xml:space="preserve">Reference-guided, so it sidesteps the problem rather than solving it. No graph, no ranked hypotheses.</w:t>
            </w:r>
          </w:p>
        </w:tc>
      </w:tr>
    </w:tbl>
    <w:p>
      <w:pPr>
        <w:pStyle w:val="Heading2"/>
        <w:spacing w:after="130" w:before="260"/>
      </w:pPr>
      <w:r>
        <w:t xml:space="preserve">3.3 Graph-native path extraction</w:t>
      </w:r>
    </w:p>
    <w:p>
      <w:pPr>
        <w:spacing w:after="120"/>
      </w:pPr>
      <w:r>
        <w:rPr>
          <w:rFonts w:ascii="Calibri" w:cs="Calibri" w:eastAsia="Calibri" w:hAnsi="Calibri"/>
          <w:sz w:val="21"/>
          <w:szCs w:val="21"/>
        </w:rPr>
        <w:t xml:space="preserve">This is the closest class: tools that take a graph and emit chromosome-scale paths. Every one of them requires external phasing evidence that our use case does not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826"/>
      </w:tblGrid>
      <w:tr>
        <w:trPr>
          <w:tblHeader/>
        </w:trPr>
        <w:tc>
          <w:tcPr>
            <w:tcW w:type="dxa" w:w="15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Tool</w:t>
            </w:r>
          </w:p>
        </w:tc>
        <w:tc>
          <w:tcPr>
            <w:tcW w:type="dxa" w:w="19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Extra evidence required</w:t>
            </w:r>
          </w:p>
        </w:tc>
        <w:tc>
          <w:tcPr>
            <w:tcW w:type="dxa" w:w="28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What it does</w:t>
            </w:r>
          </w:p>
        </w:tc>
        <w:tc>
          <w:tcPr>
            <w:tcW w:type="dxa" w:w="2826"/>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Where it stops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Rukki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Mandatory: maternal/paternal marker counts per node (marker_cnts.tsv)</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Genuinely graph-native — GFA required, sequences optional. Reads node coverage from RC:i:, FC:i:, ll:f: tags. Handles bubbles and tandem-repeat ambiguity; scaffolds across gaps.</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Hard-wired to trio evidence; without the marker file it has nothing to decide with. Output is a phasing answer, not a karyotype. Never counts chromosomes, never looks for telomeres, produces exactly one partition.</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GraphUnzip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Mandatory: Hi-C matrix, long reads as GAF, or barcoded SAM</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Untangles a GFA into scaffolds. Has a switch for whether contig coverage in the graph can be trusted.</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No telomeres, no chromosome count, one answer.</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GFAse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Mandatory: Hi-C/Pore-C contacts, or parental k-mers</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Phases an assembly graph into haplotypes.</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No telomeres, no count, one answer. Whether it uses graph depth is undocumented [U].</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SALSA2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Hi-C alignments</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Scaffolding. The assembly graph is an optional guide only; required inputs are FASTA, .fai and a Hi-C bed. Notably does not require a chromosome count as input.</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Does not report a chromosome count either. No telomeres, one answer.</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YaHS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Hi-C</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Hi-C scaffolding. Ships a telomere motif database and detection adapted from seqtk telo.</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Does not take a GFA. Telomeres are used to veto joins, not to count chromosomes.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Verkko, hifiasm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Reads; Hi-C or trio for phasing</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Assemblers. Both expose telomere motif options and use depth internally.</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Take reads, not a graph. No chromosome count. hifiasm does not scaffold.</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RagTag, Chromonomer, EndHiC, ALLHiC, ntLink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Reference, genetic map, or Hi-C</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Scaffolding by various external evidence.</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None accepts a GFA as primary input. ALLHiC is unmaintained; its authors redirect elsewhere.</w:t>
            </w:r>
          </w:p>
        </w:tc>
      </w:tr>
    </w:tbl>
    <w:p>
      <w:pPr>
        <w:pStyle w:val="Heading2"/>
        <w:spacing w:after="130" w:before="260"/>
      </w:pPr>
      <w:r>
        <w:t xml:space="preserve">3.4 Graph-to-molecule reconstruction</w:t>
      </w:r>
    </w:p>
    <w:p>
      <w:pPr>
        <w:spacing w:after="120"/>
      </w:pPr>
      <w:r>
        <w:rPr>
          <w:rFonts w:ascii="Calibri" w:cs="Calibri" w:eastAsia="Calibri" w:hAnsi="Calibri"/>
          <w:sz w:val="21"/>
          <w:szCs w:val="21"/>
        </w:rPr>
        <w:t xml:space="preserve">Graph in, discrete molecules out — solved, but only for organelles and bacterial plasmids, and always with a reference gene or taxonomic database to say what to look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00"/>
        <w:gridCol w:w="2826"/>
      </w:tblGrid>
      <w:tr>
        <w:trPr>
          <w:tblHeader/>
        </w:trPr>
        <w:tc>
          <w:tcPr>
            <w:tcW w:type="dxa" w:w="15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Tool</w:t>
            </w:r>
          </w:p>
        </w:tc>
        <w:tc>
          <w:tcPr>
            <w:tcW w:type="dxa" w:w="19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Extra evidence required</w:t>
            </w:r>
          </w:p>
        </w:tc>
        <w:tc>
          <w:tcPr>
            <w:tcW w:type="dxa" w:w="28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What it does</w:t>
            </w:r>
          </w:p>
        </w:tc>
        <w:tc>
          <w:tcPr>
            <w:tcW w:type="dxa" w:w="2826"/>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Where it stops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Oatk (pathfinder)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HMM gene profile database (OatkDB)</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Takes a GFA. Estimates the copy number of every edge from sequence and arc coverage, runs an exhaustive path search, and returns "a minimal set of best supported structures that represents all sequence in the graph" — i.e. it refuses to collapse to one answer.</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Organelle only. Requires the HMM database to identify a target subgraph. No nuclear backbone, no telomeres, no chromosome count. Its alternatives are recombination isomers of one molecule, not competing assignments of contigs to different chromosomes. No contradicting evidence attached.</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GetOrganelle (from_assembly)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Seed and label reference databases</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Takes FASTG or GFA. Multiplicity estimation "incorporates both information of graph characteristics and contig coverage". Writes one FASTA per candidate structure.</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Organelle only, reference-dependent. Structures are emitted, not ranked or evidenced. When the graph is messy the authors recommend manual completion in Bandage — exactly the step we are automating.</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gplas / gplasCC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Species classification database</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GFA is the only required input; outputs plasmid bins, a network figure and walk solutions.</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Bacteria only. Emits alternative walks but commits to one binning.</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SCAPP, Recycler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Reads/BAM; SCAPP also a plasmid gene database</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Peel circular, uniform-coverage paths out of an assembly graph. Input is FASTG, not GFA (SCAPP converts).</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Bacteria/plasmid only. No telomeres, no eukaryotic karyotype.</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plASgraph2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Trained GNN model</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GFA in; per-contig plasmid/chromosome/ambiguous labels out.</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Labels, not molecules. Bacteria only.</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Unicycler [V]</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Illumina reads, optionally long reads</w:t>
            </w:r>
          </w:p>
        </w:tc>
        <w:tc>
          <w:tcPr>
            <w:tcW w:type="dxa" w:w="2800"/>
            <w:tcMar>
              <w:top w:type="dxa" w:w="60"/>
              <w:left w:type="dxa" w:w="90"/>
              <w:bottom w:type="dxa" w:w="60"/>
              <w:right w:type="dxa" w:w="90"/>
            </w:tcMar>
          </w:tcPr>
          <w:p>
            <w:pPr>
              <w:spacing w:after="0"/>
            </w:pPr>
            <w:r>
              <w:rPr>
                <w:rFonts w:ascii="Calibri" w:cs="Calibri" w:eastAsia="Calibri" w:hAnsi="Calibri"/>
                <w:sz w:val="17"/>
                <w:szCs w:val="17"/>
              </w:rPr>
              <w:t xml:space="preserve">Assigns multiplicity by "a greedy algorithm that uses both read depth and graph connectivity", with depth normalised to the median so the chromosome sits near 1x and plasmids fall out elsewhere.</w:t>
            </w:r>
          </w:p>
        </w:tc>
        <w:tc>
          <w:tcPr>
            <w:tcW w:type="dxa" w:w="2826"/>
            <w:tcMar>
              <w:top w:type="dxa" w:w="60"/>
              <w:left w:type="dxa" w:w="90"/>
              <w:bottom w:type="dxa" w:w="60"/>
              <w:right w:type="dxa" w:w="90"/>
            </w:tcMar>
          </w:tcPr>
          <w:p>
            <w:pPr>
              <w:spacing w:after="0"/>
            </w:pPr>
            <w:r>
              <w:rPr>
                <w:rFonts w:ascii="Calibri" w:cs="Calibri" w:eastAsia="Calibri" w:hAnsi="Calibri"/>
                <w:sz w:val="17"/>
                <w:szCs w:val="17"/>
              </w:rPr>
              <w:t xml:space="preserve">Takes reads, not a graph. Bacteria only. Its expected number of linear sequences is user-supplied.</w:t>
            </w:r>
          </w:p>
        </w:tc>
      </w:tr>
    </w:tbl>
    <w:p>
      <w:pPr>
        <w:pStyle w:val="Heading2"/>
        <w:spacing w:after="130" w:before="260"/>
      </w:pPr>
      <w:r>
        <w:t xml:space="preserve">3.5 Chromosome drawing and linked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Tool</w:t>
            </w:r>
          </w:p>
        </w:tc>
        <w:tc>
          <w:tcPr>
            <w:tcW w:type="dxa" w:w="32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What it does</w:t>
            </w:r>
          </w:p>
        </w:tc>
        <w:tc>
          <w:tcPr>
            <w:tcW w:type="dxa" w:w="4326"/>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Where it stops</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PGR-TK [V]</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Builds a minimizer-anchored pangenome graph across many already-assembled haplotypes at one locus, then decomposes it into principal bundles. Each bundle block in the linear tracks is a run of consecutive graph vertices, so bundle identity is shared between graph and tracks by construction.</w:t>
            </w:r>
          </w:p>
        </w:tc>
        <w:tc>
          <w:tcPr>
            <w:tcW w:type="dxa" w:w="4326"/>
            <w:tcMar>
              <w:top w:type="dxa" w:w="60"/>
              <w:left w:type="dxa" w:w="90"/>
              <w:bottom w:type="dxa" w:w="60"/>
              <w:right w:type="dxa" w:w="90"/>
            </w:tcMar>
          </w:tcPr>
          <w:p>
            <w:pPr>
              <w:spacing w:after="0"/>
            </w:pPr>
            <w:r>
              <w:rPr>
                <w:rFonts w:ascii="Calibri" w:cs="Calibri" w:eastAsia="Calibri" w:hAnsi="Calibri"/>
                <w:sz w:val="17"/>
                <w:szCs w:val="17"/>
              </w:rPr>
              <w:t xml:space="preserve">Input is assembled FASTA; GFA is an output, never an input. No read depth, no copy number, no telomeres, no chromosome count, no ranked hypotheses. Critically, the only shipped renderer draws the linear tracks; the graph panel of its own published figure was made by hand. Repository archived 19 April 2026.</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ChromoMapperWeb [V]</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From a QUAST folder or nucmer coordinates, draws chromosomes as ideograms where "alignment blocks are reported as coloured rectangles according to the contig they belong to".</w:t>
            </w:r>
          </w:p>
        </w:tc>
        <w:tc>
          <w:tcPr>
            <w:tcW w:type="dxa" w:w="4326"/>
            <w:tcMar>
              <w:top w:type="dxa" w:w="60"/>
              <w:left w:type="dxa" w:w="90"/>
              <w:bottom w:type="dxa" w:w="60"/>
              <w:right w:type="dxa" w:w="90"/>
            </w:tcMar>
          </w:tcPr>
          <w:p>
            <w:pPr>
              <w:spacing w:after="0"/>
            </w:pPr>
            <w:r>
              <w:rPr>
                <w:rFonts w:ascii="Calibri" w:cs="Calibri" w:eastAsia="Calibri" w:hAnsi="Calibri"/>
                <w:sz w:val="17"/>
                <w:szCs w:val="17"/>
              </w:rPr>
              <w:t xml:space="preserve">No assembly graph anywhere. Reference-dependent throughout; if no coordinates are supplied it guesses which reference sequences are chromosomes by size.</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jcvi [S]</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Chromosome glyphs filled with class-coloured blocks, seeded palettes, legends, and Bezier arcs between chromosomes.</w:t>
            </w:r>
          </w:p>
        </w:tc>
        <w:tc>
          <w:tcPr>
            <w:tcW w:type="dxa" w:w="4326"/>
            <w:tcMar>
              <w:top w:type="dxa" w:w="60"/>
              <w:left w:type="dxa" w:w="90"/>
              <w:bottom w:type="dxa" w:w="60"/>
              <w:right w:type="dxa" w:w="90"/>
            </w:tcMar>
          </w:tcPr>
          <w:p>
            <w:pPr>
              <w:spacing w:after="0"/>
            </w:pPr>
            <w:r>
              <w:rPr>
                <w:rFonts w:ascii="Calibri" w:cs="Calibri" w:eastAsia="Calibri" w:hAnsi="Calibri"/>
                <w:sz w:val="17"/>
                <w:szCs w:val="17"/>
              </w:rPr>
              <w:t xml:space="preserve">No GFA, no copy number, no telomeres. Colours come from a user-supplied class file, not inferred.</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Alvis [S]</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Alignment diagrams; contig rectangles filled with blocks coloured by target, with reproducible seeded colours.</w:t>
            </w:r>
          </w:p>
        </w:tc>
        <w:tc>
          <w:tcPr>
            <w:tcW w:type="dxa" w:w="4326"/>
            <w:tcMar>
              <w:top w:type="dxa" w:w="60"/>
              <w:left w:type="dxa" w:w="90"/>
              <w:bottom w:type="dxa" w:w="60"/>
              <w:right w:type="dxa" w:w="90"/>
            </w:tcMar>
          </w:tcPr>
          <w:p>
            <w:pPr>
              <w:spacing w:after="0"/>
            </w:pPr>
            <w:r>
              <w:rPr>
                <w:rFonts w:ascii="Calibri" w:cs="Calibri" w:eastAsia="Calibri" w:hAnsi="Calibri"/>
                <w:sz w:val="17"/>
                <w:szCs w:val="17"/>
              </w:rPr>
              <w:t xml:space="preserve">Alignment-driven; needs a reference or target.</w:t>
            </w:r>
          </w:p>
        </w:tc>
      </w:tr>
      <w:tr>
        <w:tc>
          <w:tcPr>
            <w:tcW w:type="dxa" w:w="1500"/>
            <w:tcMar>
              <w:top w:type="dxa" w:w="60"/>
              <w:left w:type="dxa" w:w="90"/>
              <w:bottom w:type="dxa" w:w="60"/>
              <w:right w:type="dxa" w:w="90"/>
            </w:tcMar>
          </w:tcPr>
          <w:p>
            <w:pPr>
              <w:spacing w:after="0"/>
            </w:pPr>
            <w:r>
              <w:rPr>
                <w:rFonts w:ascii="Calibri" w:cs="Calibri" w:eastAsia="Calibri" w:hAnsi="Calibri"/>
                <w:sz w:val="17"/>
                <w:szCs w:val="17"/>
              </w:rPr>
              <w:t xml:space="preserve">RIdeogram, karyoploteR, chromoMap, Circos, NGenomeSyn [S]</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Ideogram and synteny drawing.</w:t>
            </w:r>
          </w:p>
        </w:tc>
        <w:tc>
          <w:tcPr>
            <w:tcW w:type="dxa" w:w="4326"/>
            <w:tcMar>
              <w:top w:type="dxa" w:w="60"/>
              <w:left w:type="dxa" w:w="90"/>
              <w:bottom w:type="dxa" w:w="60"/>
              <w:right w:type="dxa" w:w="90"/>
            </w:tcMar>
          </w:tcPr>
          <w:p>
            <w:pPr>
              <w:spacing w:after="0"/>
            </w:pPr>
            <w:r>
              <w:rPr>
                <w:rFonts w:ascii="Calibri" w:cs="Calibri" w:eastAsia="Calibri" w:hAnsi="Calibri"/>
                <w:sz w:val="17"/>
                <w:szCs w:val="17"/>
              </w:rPr>
              <w:t xml:space="preserve">Cytoband- or window-driven; none is assembly-graph aware.</w:t>
            </w:r>
          </w:p>
        </w:tc>
      </w:tr>
    </w:tbl>
    <w:p>
      <w:r>
        <w:br w:type="page"/>
      </w:r>
    </w:p>
    <w:p>
      <w:pPr>
        <w:pStyle w:val="Heading1"/>
        <w:spacing w:after="130" w:before="260"/>
      </w:pPr>
      <w:r>
        <w:t xml:space="preserve">4. The closest prior art, in detail</w:t>
      </w:r>
    </w:p>
    <w:p>
      <w:pPr>
        <w:pStyle w:val="Heading2"/>
        <w:spacing w:after="130" w:before="260"/>
      </w:pPr>
      <w:r>
        <w:t xml:space="preserve">4.1 Oatk pathfinder — closest algorithm</w:t>
      </w:r>
    </w:p>
    <w:p>
      <w:pPr>
        <w:spacing w:after="120"/>
      </w:pPr>
      <w:r>
        <w:rPr>
          <w:rFonts w:ascii="Calibri" w:cs="Calibri" w:eastAsia="Calibri" w:hAnsi="Calibri"/>
          <w:sz w:val="21"/>
          <w:szCs w:val="21"/>
        </w:rPr>
        <w:t xml:space="preserve">Expect a reviewer to raise this one. Oatk’s pathfinder takes a GFA, estimates copy number per edge from coverage, performs an exhaustive path search, and explicitly returns a set of best-supported structures rather than a single answer. That is depth-driven copy number plus enumeration of competing structural hypotheses, on a graph, shipping today.</w:t>
      </w:r>
    </w:p>
    <w:p>
      <w:pPr>
        <w:spacing w:after="120"/>
      </w:pPr>
      <w:r>
        <w:rPr>
          <w:rFonts w:ascii="Calibri" w:cs="Calibri" w:eastAsia="Calibri" w:hAnsi="Calibri"/>
          <w:sz w:val="21"/>
          <w:szCs w:val="21"/>
        </w:rPr>
        <w:t xml:space="preserve">Where it stops: it is organelle-only and requires the OatkDB HMM gene profile database to decide which subgraph is even a target. It has no concept of a nuclear backbone, no telomere detection and no chromosome count. Its alternatives are recombination isomers of a single molecule, not competing assignments of contigs to different chromosomes, and it attaches neither contradicting evidence nor a statement of what would resolve the ambiguity.</w:t>
      </w:r>
    </w:p>
    <w:p>
      <w:pPr>
        <w:pStyle w:val="Heading2"/>
        <w:spacing w:after="130" w:before="260"/>
      </w:pPr>
      <w:r>
        <w:t xml:space="preserve">4.2 Rukki — closest eukaryotic graph-to-path extractor</w:t>
      </w:r>
    </w:p>
    <w:p>
      <w:pPr>
        <w:spacing w:after="120"/>
      </w:pPr>
      <w:r>
        <w:rPr>
          <w:rFonts w:ascii="Calibri" w:cs="Calibri" w:eastAsia="Calibri" w:hAnsi="Calibri"/>
          <w:sz w:val="21"/>
          <w:szCs w:val="21"/>
        </w:rPr>
        <w:t xml:space="preserve">Rukki is the strongest "already exists" threat on the path-extraction half. It reads GFA with sequences optional, so it is genuinely graph-native; it reads node coverage from standard tags; it handles bubbles, tandem-repeat ambiguity and gap scaffolding.</w:t>
      </w:r>
    </w:p>
    <w:p>
      <w:pPr>
        <w:spacing w:after="120"/>
      </w:pPr>
      <w:r>
        <w:rPr>
          <w:rFonts w:ascii="Calibri" w:cs="Calibri" w:eastAsia="Calibri" w:hAnsi="Calibri"/>
          <w:sz w:val="21"/>
          <w:szCs w:val="21"/>
        </w:rPr>
        <w:t xml:space="preserve">Where it stops: it is hard-wired to trio evidence. The trio subcommand requires a per-node maternal/paternal marker count file, and without it there is nothing to decide with. Its output is a phasing answer — haplotype paths — not a karyotype. It never asks how many chromosomes there are, never looks for telomeres, and by design produces exactly one partition covering every node. The Verkko pipeline around it does detect telomeres, but uses them to place scaffold gaps, not to count chromosomes.</w:t>
      </w:r>
    </w:p>
    <w:p>
      <w:pPr>
        <w:pStyle w:val="Heading2"/>
        <w:spacing w:after="130" w:before="260"/>
      </w:pPr>
      <w:r>
        <w:t xml:space="preserve">4.3 Tapestry — closest in intent</w:t>
      </w:r>
    </w:p>
    <w:p>
      <w:pPr>
        <w:spacing w:after="120"/>
      </w:pPr>
      <w:r>
        <w:rPr>
          <w:rFonts w:ascii="Calibri" w:cs="Calibri" w:eastAsia="Calibri" w:hAnsi="Calibri"/>
          <w:sz w:val="21"/>
          <w:szCs w:val="21"/>
        </w:rPr>
        <w:t xml:space="preserve">Tapestry is the only tool that already fuses telomere counts, read-depth ploidy, GC and contig alignments into one artefact aimed at exactly the question "which of these contigs are complete chromosomes". Its worked example walks through recognising the chloroplast and mitochondrion by GC and depth, and identifying two contigs as two halves of one chromosome from telomere presence plus read overhangs.</w:t>
      </w:r>
    </w:p>
    <w:p>
      <w:pPr>
        <w:spacing w:after="120"/>
      </w:pPr>
      <w:r>
        <w:rPr>
          <w:rFonts w:ascii="Calibri" w:cs="Calibri" w:eastAsia="Calibri" w:hAnsi="Calibri"/>
          <w:sz w:val="21"/>
          <w:szCs w:val="21"/>
        </w:rPr>
        <w:t xml:space="preserve">Where it stops: it consumes FASTA and reads, never a graph, so it has no notion of a segment, a self-loop or graph degree. Its chromosome-grouping column is a box a human fills in. It never emits a chromosome count. The inference we automate is precisely the step Tapestry leaves to the user’s eyes.</w:t>
      </w:r>
    </w:p>
    <w:p>
      <w:pPr>
        <w:pStyle w:val="Heading2"/>
        <w:spacing w:after="130" w:before="260"/>
      </w:pPr>
      <w:r>
        <w:t xml:space="preserve">4.4 PGR-TK — closest visual grammar</w:t>
      </w:r>
    </w:p>
    <w:p>
      <w:pPr>
        <w:spacing w:after="120"/>
      </w:pPr>
      <w:r>
        <w:rPr>
          <w:rFonts w:ascii="Calibri" w:cs="Calibri" w:eastAsia="Calibri" w:hAnsi="Calibri"/>
          <w:sz w:val="21"/>
          <w:szCs w:val="21"/>
        </w:rPr>
        <w:t xml:space="preserve">PGR-TK published the colour-linked graph-and-linear-tracks figure in 2023, and we should not claim that visual device as new. But it answers a different question: how does one locus’s repeat architecture differ across many finished haplotypes, rather than how many chromosomes are in one unfinished assembly. It takes assembled FASTA and writes GFA; it has no read depth, no telomeres and no ranked hypotheses. Its shipped renderer draws only the linear half.</w:t>
      </w:r>
    </w:p>
    <w:p>
      <w:pPr>
        <w:pStyle w:val="Heading1"/>
        <w:spacing w:after="130" w:before="260"/>
      </w:pPr>
      <w:r>
        <w:t xml:space="preserve">5. What is different about this tool</w:t>
      </w:r>
    </w:p>
    <w:p>
      <w:pPr>
        <w:spacing w:after="120"/>
      </w:pPr>
      <w:r>
        <w:rPr>
          <w:rFonts w:ascii="Calibri" w:cs="Calibri" w:eastAsia="Calibri" w:hAnsi="Calibri"/>
          <w:sz w:val="21"/>
          <w:szCs w:val="21"/>
        </w:rPr>
        <w:t xml:space="preserve">The gap is clean and it sits at a junction. Everything that opens an assembly graph treats it as a picture or a pile of statistics. Everything that infers biology starts from an assembled FASTA and is structurally blind to the graph. The tools that do reason over a graph and emit molecules are confined to organelles and plasmids, and need a reference database. The tools that extract chromosome-scale paths from a graph all require Hi-C or trio data.</w:t>
      </w:r>
    </w:p>
    <w:p>
      <w:pPr>
        <w:spacing w:after="60"/>
      </w:pPr>
      <w:r>
        <w:rPr>
          <w:rFonts w:ascii="Calibri" w:cs="Calibri" w:eastAsia="Calibri" w:hAnsi="Calibri"/>
          <w:b/>
          <w:bCs/>
          <w:sz w:val="21"/>
          <w:szCs w:val="21"/>
        </w:rPr>
        <w:t xml:space="preserve">The claim, stated so a reviewer can accept or refute it: </w:t>
      </w:r>
    </w:p>
    <w:p>
      <w:pPr>
        <w:pBdr>
          <w:left w:val="single" w:color="4A7BA7" w:sz="12" w:space="12"/>
        </w:pBdr>
        <w:spacing w:after="200" w:before="60"/>
        <w:ind w:left="400" w:right="400"/>
      </w:pPr>
      <w:r>
        <w:rPr>
          <w:rFonts w:ascii="Calibri" w:cs="Calibri" w:eastAsia="Calibri" w:hAnsi="Calibri"/>
          <w:i/>
          <w:iCs/>
          <w:sz w:val="21"/>
          <w:szCs w:val="21"/>
        </w:rPr>
        <w:t xml:space="preserve">Existing graph-native tools resolve an assembly graph either into haplotype paths using external phasing evidence, or into complete molecules for organelles and plasmids using a reference database. None infers a nuclear chromosome complement — a telomere-derived chromosome count together with a ranked set of competing contig-join hypotheses, each with supporting and contradicting evidence — from the assembly graph and read depth alone.</w:t>
      </w:r>
    </w:p>
    <w:p>
      <w:pPr>
        <w:spacing w:after="120"/>
      </w:pPr>
      <w:r>
        <w:rPr>
          <w:rFonts w:ascii="Calibri" w:cs="Calibri" w:eastAsia="Calibri" w:hAnsi="Calibri"/>
          <w:sz w:val="21"/>
          <w:szCs w:val="21"/>
        </w:rPr>
        <w:t xml:space="preserve">The load-bearing words are nuclear, count, ranked, and alone. Drop any one of them and a tool in section 3 covers it: drop "nuclear" and Oatk covers it; drop "alone" and Rukki and GraphUnzip cover it; drop "ranked" and any scaffolder covers it.</w:t>
      </w:r>
    </w:p>
    <w:p>
      <w:pPr>
        <w:pStyle w:val="Heading2"/>
        <w:spacing w:after="130" w:before="260"/>
      </w:pPr>
      <w:r>
        <w:t xml:space="preserve">5.1 What we must not claim</w:t>
      </w:r>
    </w:p>
    <w:p>
      <w:pPr>
        <w:pStyle w:val="ListParagraph"/>
        <w:numPr>
          <w:ilvl w:val="0"/>
          <w:numId w:val="2"/>
        </w:numPr>
        <w:spacing w:after="70"/>
      </w:pPr>
      <w:r>
        <w:rPr>
          <w:rFonts w:ascii="Calibri" w:cs="Calibri" w:eastAsia="Calibri" w:hAnsi="Calibri"/>
          <w:sz w:val="21"/>
          <w:szCs w:val="21"/>
        </w:rPr>
        <w:t xml:space="preserve">Copy-number estimation from depth. This is a named stage in the GFA community assembler-components specification, with a reserved CN segment tag and a prescribed median-depth heuristic, and Unicycler has shipped depth-plus-connectivity multiplicity assignment for years. Implement it, cite it, never call it new.</w:t>
      </w:r>
    </w:p>
    <w:p>
      <w:pPr>
        <w:pStyle w:val="ListParagraph"/>
        <w:numPr>
          <w:ilvl w:val="0"/>
          <w:numId w:val="2"/>
        </w:numPr>
        <w:spacing w:after="70"/>
      </w:pPr>
      <w:r>
        <w:rPr>
          <w:rFonts w:ascii="Calibri" w:cs="Calibri" w:eastAsia="Calibri" w:hAnsi="Calibri"/>
          <w:sz w:val="21"/>
          <w:szCs w:val="21"/>
        </w:rPr>
        <w:t xml:space="preserve">The colour-linked graph and linear figure. PGR-TK published this in Nature Methods in 2023. Our contribution is that it is automated and driven by inference rather than assembled by hand.</w:t>
      </w:r>
    </w:p>
    <w:p>
      <w:pPr>
        <w:pStyle w:val="ListParagraph"/>
        <w:numPr>
          <w:ilvl w:val="0"/>
          <w:numId w:val="2"/>
        </w:numPr>
        <w:spacing w:after="70"/>
      </w:pPr>
      <w:r>
        <w:rPr>
          <w:rFonts w:ascii="Calibri" w:cs="Calibri" w:eastAsia="Calibri" w:hAnsi="Calibri"/>
          <w:sz w:val="21"/>
          <w:szCs w:val="21"/>
        </w:rPr>
        <w:t xml:space="preserve">That Bandage colours segments at random. It does not. Bandage colours by depth and accepts an explicit Color column in a CSV. This claim appeared in our own early design notes and has been removed from the code; it should not survive into anything external.</w:t>
      </w:r>
    </w:p>
    <w:p>
      <w:pPr>
        <w:pStyle w:val="ListParagraph"/>
        <w:numPr>
          <w:ilvl w:val="0"/>
          <w:numId w:val="2"/>
        </w:numPr>
        <w:spacing w:after="70"/>
      </w:pPr>
      <w:r>
        <w:rPr>
          <w:rFonts w:ascii="Calibri" w:cs="Calibri" w:eastAsia="Calibri" w:hAnsi="Calibri"/>
          <w:sz w:val="21"/>
          <w:szCs w:val="21"/>
        </w:rPr>
        <w:t xml:space="preserve">Telomere motif detection. tidk does this better, including discovering the motif de novo. YaHS ships a motif database adapted from seqtk telo. Inferring chromosome identity from telomere-capped ends is also documented manual practice in assembly curation. Our novelty is automating it from the graph and attaching it to ranked join hypotheses, not the idea itself.</w:t>
      </w:r>
    </w:p>
    <w:p>
      <w:pPr>
        <w:pStyle w:val="ListParagraph"/>
        <w:numPr>
          <w:ilvl w:val="0"/>
          <w:numId w:val="2"/>
        </w:numPr>
        <w:spacing w:after="70"/>
      </w:pPr>
      <w:r>
        <w:rPr>
          <w:rFonts w:ascii="Calibri" w:cs="Calibri" w:eastAsia="Calibri" w:hAnsi="Calibri"/>
          <w:sz w:val="21"/>
          <w:szCs w:val="21"/>
        </w:rPr>
        <w:t xml:space="preserve">Organelle identification. A size-and-coverage heuristic flags a candidate. Oatk identifies organelles properly with profile HMMs. Frame ours as triage.</w:t>
      </w:r>
    </w:p>
    <w:p>
      <w:pPr>
        <w:pStyle w:val="Heading1"/>
        <w:spacing w:after="130" w:before="260"/>
      </w:pPr>
      <w:r>
        <w:t xml:space="preserve">6. Recommendations</w:t>
      </w:r>
    </w:p>
    <w:p>
      <w:pPr>
        <w:pStyle w:val="ListParagraph"/>
        <w:numPr>
          <w:ilvl w:val="0"/>
          <w:numId w:val="2"/>
        </w:numPr>
        <w:spacing w:after="70"/>
      </w:pPr>
      <w:r>
        <w:rPr>
          <w:rFonts w:ascii="Calibri" w:cs="Calibri" w:eastAsia="Calibri" w:hAnsi="Calibri"/>
          <w:sz w:val="21"/>
          <w:szCs w:val="21"/>
        </w:rPr>
        <w:t xml:space="preserve">Position this as a hypothesis-ranking engine that draws its reasoning, not as a new assembly graph visualiser. Framed as a visualiser it will be compared to Bandage and MetagenomeScope and it will lose.</w:t>
      </w:r>
    </w:p>
    <w:p>
      <w:pPr>
        <w:pStyle w:val="ListParagraph"/>
        <w:numPr>
          <w:ilvl w:val="0"/>
          <w:numId w:val="2"/>
        </w:numPr>
        <w:spacing w:after="70"/>
      </w:pPr>
      <w:r>
        <w:rPr>
          <w:rFonts w:ascii="Calibri" w:cs="Calibri" w:eastAsia="Calibri" w:hAnsi="Calibri"/>
          <w:sz w:val="21"/>
          <w:szCs w:val="21"/>
        </w:rPr>
        <w:t xml:space="preserve">Do not add a Hi-C or trio mode. If that data exists, Rukki, GraphUnzip and GFAse are better than anything we would write. The value is precisely the case where it does not exist — say so explicitly.</w:t>
      </w:r>
    </w:p>
    <w:p>
      <w:pPr>
        <w:pStyle w:val="ListParagraph"/>
        <w:numPr>
          <w:ilvl w:val="0"/>
          <w:numId w:val="2"/>
        </w:numPr>
        <w:spacing w:after="70"/>
      </w:pPr>
      <w:r>
        <w:rPr>
          <w:rFonts w:ascii="Calibri" w:cs="Calibri" w:eastAsia="Calibri" w:hAnsi="Calibri"/>
          <w:sz w:val="21"/>
          <w:szCs w:val="21"/>
        </w:rPr>
        <w:t xml:space="preserve">Delegate telomere motif counting to tidk rather than shipping a hardcoded motif list.</w:t>
      </w:r>
    </w:p>
    <w:p>
      <w:pPr>
        <w:pStyle w:val="ListParagraph"/>
        <w:numPr>
          <w:ilvl w:val="0"/>
          <w:numId w:val="2"/>
        </w:numPr>
        <w:spacing w:after="70"/>
      </w:pPr>
      <w:r>
        <w:rPr>
          <w:rFonts w:ascii="Calibri" w:cs="Calibri" w:eastAsia="Calibri" w:hAnsi="Calibri"/>
          <w:sz w:val="21"/>
          <w:szCs w:val="21"/>
        </w:rPr>
        <w:t xml:space="preserve">Delegate contamination calling to BlobToolKit. Flag candidates and hand off.</w:t>
      </w:r>
    </w:p>
    <w:p>
      <w:pPr>
        <w:pStyle w:val="ListParagraph"/>
        <w:numPr>
          <w:ilvl w:val="0"/>
          <w:numId w:val="2"/>
        </w:numPr>
        <w:spacing w:after="70"/>
      </w:pPr>
      <w:r>
        <w:rPr>
          <w:rFonts w:ascii="Calibri" w:cs="Calibri" w:eastAsia="Calibri" w:hAnsi="Calibri"/>
          <w:sz w:val="21"/>
          <w:szCs w:val="21"/>
        </w:rPr>
        <w:t xml:space="preserve">Stop at flagging organelle candidates; hand reconstruction to Oatk.</w:t>
      </w:r>
    </w:p>
    <w:p>
      <w:pPr>
        <w:pStyle w:val="ListParagraph"/>
        <w:numPr>
          <w:ilvl w:val="0"/>
          <w:numId w:val="2"/>
        </w:numPr>
        <w:spacing w:after="70"/>
      </w:pPr>
      <w:r>
        <w:rPr>
          <w:rFonts w:ascii="Calibri" w:cs="Calibri" w:eastAsia="Calibri" w:hAnsi="Calibri"/>
          <w:sz w:val="21"/>
          <w:szCs w:val="21"/>
        </w:rPr>
        <w:t xml:space="preserve">Consider writing our per-segment class and colour as a GFA segment tag, following the pattern PGR-TK uses for bundle ids. Output then opens in Bandage already coloured.</w:t>
      </w:r>
    </w:p>
    <w:p>
      <w:pPr>
        <w:pStyle w:val="ListParagraph"/>
        <w:numPr>
          <w:ilvl w:val="0"/>
          <w:numId w:val="2"/>
        </w:numPr>
        <w:spacing w:after="70"/>
      </w:pPr>
      <w:r>
        <w:rPr>
          <w:rFonts w:ascii="Calibri" w:cs="Calibri" w:eastAsia="Calibri" w:hAnsi="Calibri"/>
          <w:sz w:val="21"/>
          <w:szCs w:val="21"/>
        </w:rPr>
        <w:t xml:space="preserve">Cite PGR-TK, Oatk, Tapestry, Rukki and Unicycler in related work, and state the distinction explicitly. That sentence is the defence against the novelty objection.</w:t>
      </w:r>
    </w:p>
    <w:p>
      <w:pPr>
        <w:pStyle w:val="Heading1"/>
        <w:spacing w:after="130" w:before="260"/>
      </w:pPr>
      <w:r>
        <w:t xml:space="preserve">7. Validation: worked example</w:t>
      </w:r>
    </w:p>
    <w:p>
      <w:pPr>
        <w:spacing w:after="120"/>
      </w:pPr>
      <w:r>
        <w:rPr>
          <w:rFonts w:ascii="Calibri" w:cs="Calibri" w:eastAsia="Calibri" w:hAnsi="Calibri"/>
          <w:sz w:val="21"/>
          <w:szCs w:val="21"/>
        </w:rPr>
        <w:t xml:space="preserve">The tool is tested against a manually worked example derived from real Flye 2.8.2 output on Fusarium graminearum Nanopore data subsampled to roughly 22x. Segment lengths, depths and links are the recorded values; the nucleotide sequences in the test fixture are synthetic, generated to carry the recorded GC content, telomere motif presence and periodicity so that the composition screens have something to act on.</w:t>
      </w:r>
    </w:p>
    <w:p>
      <w:pPr>
        <w:spacing w:after="120"/>
      </w:pPr>
      <w:r>
        <w:rPr>
          <w:rFonts w:ascii="Calibri" w:cs="Calibri" w:eastAsia="Calibri" w:hAnsi="Calibri"/>
          <w:sz w:val="21"/>
          <w:szCs w:val="21"/>
        </w:rPr>
        <w:t xml:space="preserve">Reference values for validation: four chromosomes, 36,563,796 bp nuclear, mitochondrion 95,638 bp.</w:t>
      </w:r>
    </w:p>
    <w:p>
      <w:pPr>
        <w:spacing w:after="160"/>
      </w:pPr>
      <w:r>
        <w:rPr>
          <w:rFonts w:ascii="Calibri" w:cs="Calibri" w:eastAsia="Calibri" w:hAnsi="Calibri"/>
          <w:sz w:val="21"/>
          <w:szCs w:val="21"/>
        </w:rPr>
        <w:t xml:space="preserve">Seventeen assertions run automatically. The tool is given neither the expected chromosome count nor the expected genome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Assertion</w:t>
            </w:r>
          </w:p>
        </w:tc>
        <w:tc>
          <w:tcPr>
            <w:tcW w:type="dxa" w:w="5626"/>
            <w:shd w:fill="F2F2F2" w:val="clear"/>
            <w:tcMar>
              <w:top w:type="dxa" w:w="60"/>
              <w:left w:type="dxa" w:w="90"/>
              <w:bottom w:type="dxa" w:w="60"/>
              <w:right w:type="dxa" w:w="90"/>
            </w:tcMar>
          </w:tcPr>
          <w:p>
            <w:pPr>
              <w:spacing w:after="0"/>
            </w:pPr>
            <w:r>
              <w:rPr>
                <w:rFonts w:ascii="Calibri" w:cs="Calibri" w:eastAsia="Calibri" w:hAnsi="Calibri"/>
                <w:b/>
                <w:bCs/>
                <w:sz w:val="17"/>
                <w:szCs w:val="17"/>
              </w:rPr>
              <w:t xml:space="preserve">Result</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Single-copy depth baseline</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19.0x, from the median of segments over 1 Mb</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Backbone segments identified</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Five: edge_1, edge_2, edge_5, edge_6, edge_7</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Backbone total against reference</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36,448,849 bp, 0.31% from the reference nuclear total</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edge_11 organelle candidate</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Called, with reason: circular self-link, isolated component, 98.2 kb, 10.7x relative copy number</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edge_10 tandem array</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67 copies of a 7,685 bp unit; internal periodicity recovered at 1,537 bp</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edge_9 subtelomeric repeat</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1.9 copies, 3 terminal versus 0 interior path positions, telomere motifs present</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edge_3 below single copy</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Own class at 0.53 copies, and separately flagged AT-rich at 24% GC</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edge_8 low coverage retained</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0.21 copies, still used as a join candidate rather than filtered out</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Chromosome count inferred</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Best estimate 3, range 3 to 5. The true value of 4 falls inside the range and a four-chromosome arrangement is among the top-ranked ties</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Ambiguity declared</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Four hypotheses reported as tied, covering the alternative joins</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edge_4 kept separate</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Placed in the unassigned panel as a candidate contaminant, with its reasons, not forced onto a chromosome</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Colours shared across figures</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Five distinct backbone colours; every chromosome block matches its graph node</w:t>
            </w:r>
          </w:p>
        </w:tc>
      </w:tr>
      <w:tr>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No identity asserted</w:t>
            </w:r>
          </w:p>
        </w:tc>
        <w:tc>
          <w:tcPr>
            <w:tcW w:type="dxa" w:w="5626"/>
            <w:tcMar>
              <w:top w:type="dxa" w:w="60"/>
              <w:left w:type="dxa" w:w="90"/>
              <w:bottom w:type="dxa" w:w="60"/>
              <w:right w:type="dxa" w:w="90"/>
            </w:tcMar>
          </w:tcPr>
          <w:p>
            <w:pPr>
              <w:spacing w:after="0"/>
            </w:pPr>
            <w:r>
              <w:rPr>
                <w:rFonts w:ascii="Calibri" w:cs="Calibri" w:eastAsia="Calibri" w:hAnsi="Calibri"/>
                <w:sz w:val="17"/>
                <w:szCs w:val="17"/>
              </w:rPr>
              <w:t xml:space="preserve">Molecules are named chain_1, chain_2 and so on, never "chromosome 1"</w:t>
            </w:r>
          </w:p>
        </w:tc>
      </w:tr>
    </w:tbl>
    <w:p>
      <w:pPr>
        <w:spacing w:after="200" w:before="60"/>
      </w:pPr>
      <w:r>
        <w:rPr>
          <w:rFonts w:ascii="Calibri" w:cs="Calibri" w:eastAsia="Calibri" w:hAnsi="Calibri"/>
          <w:i/>
          <w:iCs/>
          <w:color w:val="666666"/>
          <w:sz w:val="17"/>
          <w:szCs w:val="17"/>
        </w:rPr>
        <w:t xml:space="preserve">Table 2. Automated assertions against the worked example, all passing at the time of writing. The assertions encode both what the tool should conclude and what it should refuse to conclude.</w:t>
      </w:r>
    </w:p>
    <w:p>
      <w:pPr>
        <w:pStyle w:val="Heading1"/>
        <w:spacing w:after="130" w:before="260"/>
      </w:pPr>
      <w:r>
        <w:t xml:space="preserve">8. Open questions and unverified items</w:t>
      </w:r>
    </w:p>
    <w:p>
      <w:pPr>
        <w:spacing w:after="120"/>
      </w:pPr>
      <w:r>
        <w:rPr>
          <w:rFonts w:ascii="Calibri" w:cs="Calibri" w:eastAsia="Calibri" w:hAnsi="Calibri"/>
          <w:sz w:val="21"/>
          <w:szCs w:val="21"/>
        </w:rPr>
        <w:t xml:space="preserve">These need closing before any external write-up.</w:t>
      </w:r>
    </w:p>
    <w:p>
      <w:pPr>
        <w:pStyle w:val="ListParagraph"/>
        <w:numPr>
          <w:ilvl w:val="0"/>
          <w:numId w:val="2"/>
        </w:numPr>
        <w:spacing w:after="70"/>
      </w:pPr>
      <w:r>
        <w:rPr>
          <w:rFonts w:ascii="Calibri" w:cs="Calibri" w:eastAsia="Calibri" w:hAnsi="Calibri"/>
          <w:sz w:val="21"/>
          <w:szCs w:val="21"/>
        </w:rPr>
        <w:t xml:space="preserve">Whether the plasmid peelers (SCAPP, Recycler, gplas) constitute closer prior art than assessed. They were verified for input and output but not compared in detail against our scoring approach.</w:t>
      </w:r>
    </w:p>
    <w:p>
      <w:pPr>
        <w:pStyle w:val="ListParagraph"/>
        <w:numPr>
          <w:ilvl w:val="0"/>
          <w:numId w:val="2"/>
        </w:numPr>
        <w:spacing w:after="70"/>
      </w:pPr>
      <w:r>
        <w:rPr>
          <w:rFonts w:ascii="Calibri" w:cs="Calibri" w:eastAsia="Calibri" w:hAnsi="Calibri"/>
          <w:sz w:val="21"/>
          <w:szCs w:val="21"/>
        </w:rPr>
        <w:t xml:space="preserve">AGB’s web manual could not be retrieved; the claim that it has no linear chromosome view rests on the paper and README.</w:t>
      </w:r>
    </w:p>
    <w:p>
      <w:pPr>
        <w:pStyle w:val="ListParagraph"/>
        <w:numPr>
          <w:ilvl w:val="0"/>
          <w:numId w:val="2"/>
        </w:numPr>
        <w:spacing w:after="70"/>
      </w:pPr>
      <w:r>
        <w:rPr>
          <w:rFonts w:ascii="Calibri" w:cs="Calibri" w:eastAsia="Calibri" w:hAnsi="Calibri"/>
          <w:sz w:val="21"/>
          <w:szCs w:val="21"/>
        </w:rPr>
        <w:t xml:space="preserve">Whether GFAse uses graph read depth at all is undocumented.</w:t>
      </w:r>
    </w:p>
    <w:p>
      <w:pPr>
        <w:pStyle w:val="ListParagraph"/>
        <w:numPr>
          <w:ilvl w:val="0"/>
          <w:numId w:val="2"/>
        </w:numPr>
        <w:spacing w:after="70"/>
      </w:pPr>
      <w:r>
        <w:rPr>
          <w:rFonts w:ascii="Calibri" w:cs="Calibri" w:eastAsia="Calibri" w:hAnsi="Calibri"/>
          <w:sz w:val="21"/>
          <w:szCs w:val="21"/>
        </w:rPr>
        <w:t xml:space="preserve">NOVOPlasty and LJA were not checked first-hand.</w:t>
      </w:r>
    </w:p>
    <w:p>
      <w:pPr>
        <w:pStyle w:val="ListParagraph"/>
        <w:numPr>
          <w:ilvl w:val="0"/>
          <w:numId w:val="2"/>
        </w:numPr>
        <w:spacing w:after="70"/>
      </w:pPr>
      <w:r>
        <w:rPr>
          <w:rFonts w:ascii="Calibri" w:cs="Calibri" w:eastAsia="Calibri" w:hAnsi="Calibri"/>
          <w:sz w:val="21"/>
          <w:szCs w:val="21"/>
        </w:rPr>
        <w:t xml:space="preserve">The successor to the archived PGR-TK, referred to as PANGEA, could not be located.</w:t>
      </w:r>
    </w:p>
    <w:p>
      <w:pPr>
        <w:pStyle w:val="ListParagraph"/>
        <w:numPr>
          <w:ilvl w:val="0"/>
          <w:numId w:val="2"/>
        </w:numPr>
        <w:spacing w:after="70"/>
      </w:pPr>
      <w:r>
        <w:rPr>
          <w:rFonts w:ascii="Calibri" w:cs="Calibri" w:eastAsia="Calibri" w:hAnsi="Calibri"/>
          <w:sz w:val="21"/>
          <w:szCs w:val="21"/>
        </w:rPr>
        <w:t xml:space="preserve">Whether the identical hex palette is used across both panels of the PGR-TK published figure. Bundle identity is shared; the graph panel rendering is not in the repository.</w:t>
      </w:r>
    </w:p>
    <w:p>
      <w:pPr>
        <w:pStyle w:val="ListParagraph"/>
        <w:numPr>
          <w:ilvl w:val="0"/>
          <w:numId w:val="2"/>
        </w:numPr>
        <w:spacing w:after="70"/>
      </w:pPr>
      <w:r>
        <w:rPr>
          <w:rFonts w:ascii="Calibri" w:cs="Calibri" w:eastAsia="Calibri" w:hAnsi="Calibri"/>
          <w:sz w:val="21"/>
          <w:szCs w:val="21"/>
        </w:rPr>
        <w:t xml:space="preserve">Several ideogram-drawing tools (jcvi, Alvis, RIdeogram and relatives) are assessed second-hand only.</w:t>
      </w:r>
    </w:p>
    <w:p>
      <w:r>
        <w:br w:type="page"/>
      </w:r>
    </w:p>
    <w:p>
      <w:pPr>
        <w:pStyle w:val="Heading1"/>
        <w:spacing w:after="130" w:before="260"/>
      </w:pPr>
      <w:r>
        <w:t xml:space="preserve">9. References</w:t>
      </w:r>
    </w:p>
    <w:p>
      <w:pPr>
        <w:spacing w:after="120"/>
      </w:pPr>
      <w:r>
        <w:rPr>
          <w:rFonts w:ascii="Calibri" w:cs="Calibri" w:eastAsia="Calibri" w:hAnsi="Calibri"/>
          <w:sz w:val="19"/>
          <w:szCs w:val="19"/>
        </w:rPr>
        <w:t xml:space="preserve">Every entry below was located during this review. Where a DOI is given it was seen directly. Entries without a DOI are software repositories with no associated publication found, or publications whose full citation was not confirmed — in those cases only the URL is given, deliberately, rather than reconstructing a citation that might be wrong.</w:t>
      </w:r>
    </w:p>
    <w:p>
      <w:pPr>
        <w:pStyle w:val="Heading3"/>
        <w:spacing w:after="130" w:before="260"/>
      </w:pPr>
      <w:r>
        <w:t xml:space="preserve">Publications</w:t>
      </w:r>
    </w:p>
    <w:p>
      <w:pPr>
        <w:spacing w:after="90"/>
        <w:ind w:left="360" w:hanging="360"/>
      </w:pPr>
      <w:r>
        <w:rPr>
          <w:rFonts w:ascii="Calibri" w:cs="Calibri" w:eastAsia="Calibri" w:hAnsi="Calibri"/>
          <w:sz w:val="19"/>
          <w:szCs w:val="19"/>
        </w:rPr>
        <w:t xml:space="preserve">Chin, C.-S. et al. Multiscale analysis of pangenomes enables improved representation of genomic diversity for repetitive and clinically relevant genes. Nature Methods 20 (2023). </w:t>
      </w:r>
      <w:r>
        <w:rPr>
          <w:rFonts w:ascii="Calibri" w:cs="Calibri" w:eastAsia="Calibri" w:hAnsi="Calibri"/>
          <w:color w:val="444444"/>
          <w:sz w:val="19"/>
          <w:szCs w:val="19"/>
        </w:rPr>
        <w:t xml:space="preserve">doi:10.1038/s41592-023-01914-y </w:t>
      </w:r>
      <w:hyperlink w:history="1" r:id="rIdtygopj4mv6j8z5gjzazpl">
        <w:r>
          <w:rPr>
            <w:rStyle w:val="Hyperlink"/>
            <w:rFonts w:ascii="Calibri" w:cs="Calibri" w:eastAsia="Calibri" w:hAnsi="Calibri"/>
            <w:sz w:val="20"/>
            <w:szCs w:val="20"/>
          </w:rPr>
          <w:t xml:space="preserve">https://www.nature.com/articles/s41592-023-01914-y</w:t>
        </w:r>
      </w:hyperlink>
    </w:p>
    <w:p>
      <w:pPr>
        <w:spacing w:after="90"/>
        <w:ind w:left="360" w:hanging="360"/>
      </w:pPr>
      <w:r>
        <w:rPr>
          <w:rFonts w:ascii="Calibri" w:cs="Calibri" w:eastAsia="Calibri" w:hAnsi="Calibri"/>
          <w:sz w:val="19"/>
          <w:szCs w:val="19"/>
        </w:rPr>
        <w:t xml:space="preserve">PGR-TK preprint (fuller Methods than the journal version). </w:t>
      </w:r>
      <w:r>
        <w:rPr>
          <w:rFonts w:ascii="Calibri" w:cs="Calibri" w:eastAsia="Calibri" w:hAnsi="Calibri"/>
          <w:color w:val="444444"/>
          <w:sz w:val="19"/>
          <w:szCs w:val="19"/>
        </w:rPr>
        <w:t xml:space="preserve">doi:10.1101/2022.08.05.502980 </w:t>
      </w:r>
      <w:hyperlink w:history="1" r:id="rIdqasj_itvwvzrvwjvm62z4">
        <w:r>
          <w:rPr>
            <w:rStyle w:val="Hyperlink"/>
            <w:rFonts w:ascii="Calibri" w:cs="Calibri" w:eastAsia="Calibri" w:hAnsi="Calibri"/>
            <w:sz w:val="20"/>
            <w:szCs w:val="20"/>
          </w:rPr>
          <w:t xml:space="preserve">https://www.biorxiv.org/content/10.1101/2022.08.05.502980v2.full</w:t>
        </w:r>
      </w:hyperlink>
    </w:p>
    <w:p>
      <w:pPr>
        <w:spacing w:after="90"/>
        <w:ind w:left="360" w:hanging="360"/>
      </w:pPr>
      <w:r>
        <w:rPr>
          <w:rFonts w:ascii="Calibri" w:cs="Calibri" w:eastAsia="Calibri" w:hAnsi="Calibri"/>
          <w:sz w:val="19"/>
          <w:szCs w:val="19"/>
        </w:rPr>
        <w:t xml:space="preserve">Mikheenko, A. &amp; Kolmogorov, M. Assembly Graph Browser: interactive visualization of assembly graphs. Bioinformatics 35(18):3476 (2019). </w:t>
      </w:r>
      <w:hyperlink w:history="1" r:id="rIdflklgkahjnbnrrsimxop8">
        <w:r>
          <w:rPr>
            <w:rStyle w:val="Hyperlink"/>
            <w:rFonts w:ascii="Calibri" w:cs="Calibri" w:eastAsia="Calibri" w:hAnsi="Calibri"/>
            <w:sz w:val="20"/>
            <w:szCs w:val="20"/>
          </w:rPr>
          <w:t xml:space="preserve">https://academic.oup.com/bioinformatics/article/35/18/3476/5306331</w:t>
        </w:r>
      </w:hyperlink>
    </w:p>
    <w:p>
      <w:pPr>
        <w:spacing w:after="90"/>
        <w:ind w:left="360" w:hanging="360"/>
      </w:pPr>
      <w:r>
        <w:rPr>
          <w:rFonts w:ascii="Calibri" w:cs="Calibri" w:eastAsia="Calibri" w:hAnsi="Calibri"/>
          <w:sz w:val="19"/>
          <w:szCs w:val="19"/>
        </w:rPr>
        <w:t xml:space="preserve">Tapestry: validate and edit small eukaryotic genome assemblies with long reads. Preprint (2020). </w:t>
      </w:r>
      <w:r>
        <w:rPr>
          <w:rFonts w:ascii="Calibri" w:cs="Calibri" w:eastAsia="Calibri" w:hAnsi="Calibri"/>
          <w:color w:val="444444"/>
          <w:sz w:val="19"/>
          <w:szCs w:val="19"/>
        </w:rPr>
        <w:t xml:space="preserve">doi:10.1101/2020.04.24.059402 </w:t>
      </w:r>
      <w:hyperlink w:history="1" r:id="rIdt5g7fseyun4dipgxpdqf2">
        <w:r>
          <w:rPr>
            <w:rStyle w:val="Hyperlink"/>
            <w:rFonts w:ascii="Calibri" w:cs="Calibri" w:eastAsia="Calibri" w:hAnsi="Calibri"/>
            <w:sz w:val="20"/>
            <w:szCs w:val="20"/>
          </w:rPr>
          <w:t xml:space="preserve">https://www.biorxiv.org/content/10.1101/2020.04.24.059402v1</w:t>
        </w:r>
      </w:hyperlink>
    </w:p>
    <w:p>
      <w:pPr>
        <w:spacing w:after="90"/>
        <w:ind w:left="360" w:hanging="360"/>
      </w:pPr>
      <w:r>
        <w:rPr>
          <w:rFonts w:ascii="Calibri" w:cs="Calibri" w:eastAsia="Calibri" w:hAnsi="Calibri"/>
          <w:sz w:val="19"/>
          <w:szCs w:val="19"/>
        </w:rPr>
        <w:t xml:space="preserve">BlobToolKit — interactive quality assessment of genome assemblies. G3 10(4):1361 (2020). </w:t>
      </w:r>
      <w:hyperlink w:history="1" r:id="rIdq77yyikg8pkmla7jks6vv">
        <w:r>
          <w:rPr>
            <w:rStyle w:val="Hyperlink"/>
            <w:rFonts w:ascii="Calibri" w:cs="Calibri" w:eastAsia="Calibri" w:hAnsi="Calibri"/>
            <w:sz w:val="20"/>
            <w:szCs w:val="20"/>
          </w:rPr>
          <w:t xml:space="preserve">https://academic.oup.com/g3journal/article/10/4/1361/6026202</w:t>
        </w:r>
      </w:hyperlink>
    </w:p>
    <w:p>
      <w:pPr>
        <w:spacing w:after="90"/>
        <w:ind w:left="360" w:hanging="360"/>
      </w:pPr>
      <w:r>
        <w:rPr>
          <w:rFonts w:ascii="Calibri" w:cs="Calibri" w:eastAsia="Calibri" w:hAnsi="Calibri"/>
          <w:sz w:val="19"/>
          <w:szCs w:val="19"/>
        </w:rPr>
        <w:t xml:space="preserve">tidk: a toolkit to rapidly identify telomeric repeats from genomic datasets. Bioinformatics 41(2), btaf049 (2025). </w:t>
      </w:r>
      <w:hyperlink w:history="1" r:id="rIdxhcxlziuyjl-of5rbdbjj">
        <w:r>
          <w:rPr>
            <w:rStyle w:val="Hyperlink"/>
            <w:rFonts w:ascii="Calibri" w:cs="Calibri" w:eastAsia="Calibri" w:hAnsi="Calibri"/>
            <w:sz w:val="20"/>
            <w:szCs w:val="20"/>
          </w:rPr>
          <w:t xml:space="preserve">https://academic.oup.com/bioinformatics/article/41/2/btaf049/7994463</w:t>
        </w:r>
      </w:hyperlink>
    </w:p>
    <w:p>
      <w:pPr>
        <w:spacing w:after="90"/>
        <w:ind w:left="360" w:hanging="360"/>
      </w:pPr>
      <w:r>
        <w:rPr>
          <w:rFonts w:ascii="Calibri" w:cs="Calibri" w:eastAsia="Calibri" w:hAnsi="Calibri"/>
          <w:sz w:val="19"/>
          <w:szCs w:val="19"/>
        </w:rPr>
        <w:t xml:space="preserve">quarTeT: a telomere-to-telomere toolkit for gap-free genome assembly and centromeric repeat identification. Horticulture Research 10(8), uhad127 (2023). </w:t>
      </w:r>
      <w:hyperlink w:history="1" r:id="rIdmsjg_-zn8sop0et_eufar">
        <w:r>
          <w:rPr>
            <w:rStyle w:val="Hyperlink"/>
            <w:rFonts w:ascii="Calibri" w:cs="Calibri" w:eastAsia="Calibri" w:hAnsi="Calibri"/>
            <w:sz w:val="20"/>
            <w:szCs w:val="20"/>
          </w:rPr>
          <w:t xml:space="preserve">https://academic.oup.com/hr/article/10/8/uhad127/7197191</w:t>
        </w:r>
      </w:hyperlink>
    </w:p>
    <w:p>
      <w:pPr>
        <w:spacing w:after="90"/>
        <w:ind w:left="360" w:hanging="360"/>
      </w:pPr>
      <w:r>
        <w:rPr>
          <w:rFonts w:ascii="Calibri" w:cs="Calibri" w:eastAsia="Calibri" w:hAnsi="Calibri"/>
          <w:sz w:val="19"/>
          <w:szCs w:val="19"/>
        </w:rPr>
        <w:t xml:space="preserve">gfastats: conversion, evaluation and manipulation of genome sequences using assembly graphs. Bioinformatics 38(17):4214 (2022). </w:t>
      </w:r>
      <w:hyperlink w:history="1" r:id="rIdd1oh-0blmp7arp63npp0n">
        <w:r>
          <w:rPr>
            <w:rStyle w:val="Hyperlink"/>
            <w:rFonts w:ascii="Calibri" w:cs="Calibri" w:eastAsia="Calibri" w:hAnsi="Calibri"/>
            <w:sz w:val="20"/>
            <w:szCs w:val="20"/>
          </w:rPr>
          <w:t xml:space="preserve">https://academic.oup.com/bioinformatics/article/38/17/4214/6633308</w:t>
        </w:r>
      </w:hyperlink>
    </w:p>
    <w:p>
      <w:pPr>
        <w:spacing w:after="90"/>
        <w:ind w:left="360" w:hanging="360"/>
      </w:pPr>
      <w:r>
        <w:rPr>
          <w:rFonts w:ascii="Calibri" w:cs="Calibri" w:eastAsia="Calibri" w:hAnsi="Calibri"/>
          <w:sz w:val="19"/>
          <w:szCs w:val="19"/>
        </w:rPr>
        <w:t xml:space="preserve">Oatk: a de novo assembly tool for complex plant organelle genomes. Genome Biology (2025). </w:t>
      </w:r>
      <w:r>
        <w:rPr>
          <w:rFonts w:ascii="Calibri" w:cs="Calibri" w:eastAsia="Calibri" w:hAnsi="Calibri"/>
          <w:color w:val="444444"/>
          <w:sz w:val="19"/>
          <w:szCs w:val="19"/>
        </w:rPr>
        <w:t xml:space="preserve">doi:10.1186/s13059-025-03676-6 </w:t>
      </w:r>
      <w:hyperlink w:history="1" r:id="rIdn_eveeegp44rnuoxke8_f">
        <w:r>
          <w:rPr>
            <w:rStyle w:val="Hyperlink"/>
            <w:rFonts w:ascii="Calibri" w:cs="Calibri" w:eastAsia="Calibri" w:hAnsi="Calibri"/>
            <w:sz w:val="20"/>
            <w:szCs w:val="20"/>
          </w:rPr>
          <w:t xml:space="preserve">https://genomebiology.biomedcentral.com/articles/10.1186/s13059-025-03676-6</w:t>
        </w:r>
      </w:hyperlink>
    </w:p>
    <w:p>
      <w:pPr>
        <w:spacing w:after="90"/>
        <w:ind w:left="360" w:hanging="360"/>
      </w:pPr>
      <w:r>
        <w:rPr>
          <w:rFonts w:ascii="Calibri" w:cs="Calibri" w:eastAsia="Calibri" w:hAnsi="Calibri"/>
          <w:sz w:val="19"/>
          <w:szCs w:val="19"/>
        </w:rPr>
        <w:t xml:space="preserve">Oatk preprint. </w:t>
      </w:r>
      <w:r>
        <w:rPr>
          <w:rFonts w:ascii="Calibri" w:cs="Calibri" w:eastAsia="Calibri" w:hAnsi="Calibri"/>
          <w:color w:val="444444"/>
          <w:sz w:val="19"/>
          <w:szCs w:val="19"/>
        </w:rPr>
        <w:t xml:space="preserve">doi:10.1101/2024.10.23.619857 </w:t>
      </w:r>
      <w:hyperlink w:history="1" r:id="rIdi2c0agw1ogwd3iztspc_e">
        <w:r>
          <w:rPr>
            <w:rStyle w:val="Hyperlink"/>
            <w:rFonts w:ascii="Calibri" w:cs="Calibri" w:eastAsia="Calibri" w:hAnsi="Calibri"/>
            <w:sz w:val="20"/>
            <w:szCs w:val="20"/>
          </w:rPr>
          <w:t xml:space="preserve">https://www.biorxiv.org/content/10.1101/2024.10.23.619857v1.full</w:t>
        </w:r>
      </w:hyperlink>
    </w:p>
    <w:p>
      <w:pPr>
        <w:spacing w:after="90"/>
        <w:ind w:left="360" w:hanging="360"/>
      </w:pPr>
      <w:r>
        <w:rPr>
          <w:rFonts w:ascii="Calibri" w:cs="Calibri" w:eastAsia="Calibri" w:hAnsi="Calibri"/>
          <w:sz w:val="19"/>
          <w:szCs w:val="19"/>
        </w:rPr>
        <w:t xml:space="preserve">GetOrganelle: a fast and versatile toolkit for accurate de novo assembly of organelle genomes. Genome Biology (2020). </w:t>
      </w:r>
      <w:r>
        <w:rPr>
          <w:rFonts w:ascii="Calibri" w:cs="Calibri" w:eastAsia="Calibri" w:hAnsi="Calibri"/>
          <w:color w:val="444444"/>
          <w:sz w:val="19"/>
          <w:szCs w:val="19"/>
        </w:rPr>
        <w:t xml:space="preserve">doi:10.1186/s13059-020-02154-5 </w:t>
      </w:r>
      <w:hyperlink w:history="1" r:id="rIddjfc8-rjna8irsgc6bjpa">
        <w:r>
          <w:rPr>
            <w:rStyle w:val="Hyperlink"/>
            <w:rFonts w:ascii="Calibri" w:cs="Calibri" w:eastAsia="Calibri" w:hAnsi="Calibri"/>
            <w:sz w:val="20"/>
            <w:szCs w:val="20"/>
          </w:rPr>
          <w:t xml:space="preserve">https://genomebiology.biomedcentral.com/articles/10.1186/s13059-020-02154-5</w:t>
        </w:r>
      </w:hyperlink>
    </w:p>
    <w:p>
      <w:pPr>
        <w:spacing w:after="90"/>
        <w:ind w:left="360" w:hanging="360"/>
      </w:pPr>
      <w:r>
        <w:rPr>
          <w:rFonts w:ascii="Calibri" w:cs="Calibri" w:eastAsia="Calibri" w:hAnsi="Calibri"/>
          <w:sz w:val="19"/>
          <w:szCs w:val="19"/>
        </w:rPr>
        <w:t xml:space="preserve">SCAPP: an algorithm for improved plasmid assembly in metagenomes. Microbiome (2021). </w:t>
      </w:r>
      <w:r>
        <w:rPr>
          <w:rFonts w:ascii="Calibri" w:cs="Calibri" w:eastAsia="Calibri" w:hAnsi="Calibri"/>
          <w:color w:val="444444"/>
          <w:sz w:val="19"/>
          <w:szCs w:val="19"/>
        </w:rPr>
        <w:t xml:space="preserve">doi:10.1186/s40168-021-01068-z </w:t>
      </w:r>
      <w:hyperlink w:history="1" r:id="rId3oqy4_3ayq1vohzzof-ms">
        <w:r>
          <w:rPr>
            <w:rStyle w:val="Hyperlink"/>
            <w:rFonts w:ascii="Calibri" w:cs="Calibri" w:eastAsia="Calibri" w:hAnsi="Calibri"/>
            <w:sz w:val="20"/>
            <w:szCs w:val="20"/>
          </w:rPr>
          <w:t xml:space="preserve">https://link.springer.com/article/10.1186/s40168-021-01068-z</w:t>
        </w:r>
      </w:hyperlink>
    </w:p>
    <w:p>
      <w:pPr>
        <w:spacing w:after="90"/>
        <w:ind w:left="360" w:hanging="360"/>
      </w:pPr>
      <w:r>
        <w:rPr>
          <w:rFonts w:ascii="Calibri" w:cs="Calibri" w:eastAsia="Calibri" w:hAnsi="Calibri"/>
          <w:sz w:val="19"/>
          <w:szCs w:val="19"/>
        </w:rPr>
        <w:t xml:space="preserve">SALSA2: integrating Hi-C links with assembly graphs for chromosome-scale assembly. </w:t>
      </w:r>
      <w:hyperlink w:history="1" r:id="rIddrkhrlbax0tltnkeih2b2">
        <w:r>
          <w:rPr>
            <w:rStyle w:val="Hyperlink"/>
            <w:rFonts w:ascii="Calibri" w:cs="Calibri" w:eastAsia="Calibri" w:hAnsi="Calibri"/>
            <w:sz w:val="20"/>
            <w:szCs w:val="20"/>
          </w:rPr>
          <w:t xml:space="preserve">https://pmc.ncbi.nlm.nih.gov/articles/PMC6719893/</w:t>
        </w:r>
      </w:hyperlink>
    </w:p>
    <w:p>
      <w:pPr>
        <w:spacing w:after="90"/>
        <w:ind w:left="360" w:hanging="360"/>
      </w:pPr>
      <w:r>
        <w:rPr>
          <w:rFonts w:ascii="Calibri" w:cs="Calibri" w:eastAsia="Calibri" w:hAnsi="Calibri"/>
          <w:sz w:val="19"/>
          <w:szCs w:val="19"/>
        </w:rPr>
        <w:t xml:space="preserve">EndHiC: assemble large contigs into chromosome-level scaffolds using the Hi-C links from contig ends. BMC Bioinformatics (2022). </w:t>
      </w:r>
      <w:r>
        <w:rPr>
          <w:rFonts w:ascii="Calibri" w:cs="Calibri" w:eastAsia="Calibri" w:hAnsi="Calibri"/>
          <w:color w:val="444444"/>
          <w:sz w:val="19"/>
          <w:szCs w:val="19"/>
        </w:rPr>
        <w:t xml:space="preserve">doi:10.1186/s12859-022-05087-x </w:t>
      </w:r>
      <w:hyperlink w:history="1" r:id="rIdpdx59qbxayez2uxhoxuvr">
        <w:r>
          <w:rPr>
            <w:rStyle w:val="Hyperlink"/>
            <w:rFonts w:ascii="Calibri" w:cs="Calibri" w:eastAsia="Calibri" w:hAnsi="Calibri"/>
            <w:sz w:val="20"/>
            <w:szCs w:val="20"/>
          </w:rPr>
          <w:t xml:space="preserve">https://link.springer.com/article/10.1186/s12859-022-05087-x</w:t>
        </w:r>
      </w:hyperlink>
    </w:p>
    <w:p>
      <w:pPr>
        <w:spacing w:after="90"/>
        <w:ind w:left="360" w:hanging="360"/>
      </w:pPr>
      <w:r>
        <w:rPr>
          <w:rFonts w:ascii="Calibri" w:cs="Calibri" w:eastAsia="Calibri" w:hAnsi="Calibri"/>
          <w:sz w:val="19"/>
          <w:szCs w:val="19"/>
        </w:rPr>
        <w:t xml:space="preserve">GraphUnzip: unzipping assembly graphs with long reads and Hi-C. Preprint archive record. </w:t>
      </w:r>
      <w:hyperlink w:history="1" r:id="rIdj4io_hvp9pn2pyhbi54rj">
        <w:r>
          <w:rPr>
            <w:rStyle w:val="Hyperlink"/>
            <w:rFonts w:ascii="Calibri" w:cs="Calibri" w:eastAsia="Calibri" w:hAnsi="Calibri"/>
            <w:sz w:val="20"/>
            <w:szCs w:val="20"/>
          </w:rPr>
          <w:t xml:space="preserve">https://hal.science/hal-03441016/</w:t>
        </w:r>
      </w:hyperlink>
    </w:p>
    <w:p>
      <w:pPr>
        <w:spacing w:after="90"/>
        <w:ind w:left="360" w:hanging="360"/>
      </w:pPr>
      <w:r>
        <w:rPr>
          <w:rFonts w:ascii="Calibri" w:cs="Calibri" w:eastAsia="Calibri" w:hAnsi="Calibri"/>
          <w:sz w:val="19"/>
          <w:szCs w:val="19"/>
        </w:rPr>
        <w:t xml:space="preserve">ChromoMapperWeb. Nucleic Acids Research (web server). Volume and page numbers not independently confirmed. </w:t>
      </w:r>
      <w:r>
        <w:rPr>
          <w:rFonts w:ascii="Calibri" w:cs="Calibri" w:eastAsia="Calibri" w:hAnsi="Calibri"/>
          <w:color w:val="444444"/>
          <w:sz w:val="19"/>
          <w:szCs w:val="19"/>
        </w:rPr>
        <w:t xml:space="preserve">doi:10.1093/nar/gkag506 </w:t>
      </w:r>
      <w:hyperlink w:history="1" r:id="rIdpivx8xfqbl30pddjexgkx">
        <w:r>
          <w:rPr>
            <w:rStyle w:val="Hyperlink"/>
            <w:rFonts w:ascii="Calibri" w:cs="Calibri" w:eastAsia="Calibri" w:hAnsi="Calibri"/>
            <w:sz w:val="20"/>
            <w:szCs w:val="20"/>
          </w:rPr>
          <w:t xml:space="preserve">https://doi.org/10.1093/nar/gkag506</w:t>
        </w:r>
      </w:hyperlink>
    </w:p>
    <w:p>
      <w:pPr>
        <w:spacing w:after="90"/>
        <w:ind w:left="360" w:hanging="360"/>
      </w:pPr>
      <w:r>
        <w:rPr>
          <w:rFonts w:ascii="Calibri" w:cs="Calibri" w:eastAsia="Calibri" w:hAnsi="Calibri"/>
          <w:sz w:val="19"/>
          <w:szCs w:val="19"/>
        </w:rPr>
        <w:t xml:space="preserve">jcvi: a versatile toolkit for comparative genomics analysis. [Second-hand] </w:t>
      </w:r>
      <w:r>
        <w:rPr>
          <w:rFonts w:ascii="Calibri" w:cs="Calibri" w:eastAsia="Calibri" w:hAnsi="Calibri"/>
          <w:color w:val="444444"/>
          <w:sz w:val="19"/>
          <w:szCs w:val="19"/>
        </w:rPr>
        <w:t xml:space="preserve">doi:10.1002/imt2.211 </w:t>
      </w:r>
    </w:p>
    <w:p>
      <w:pPr>
        <w:spacing w:after="90"/>
        <w:ind w:left="360" w:hanging="360"/>
      </w:pPr>
      <w:r>
        <w:rPr>
          <w:rFonts w:ascii="Calibri" w:cs="Calibri" w:eastAsia="Calibri" w:hAnsi="Calibri"/>
          <w:sz w:val="19"/>
          <w:szCs w:val="19"/>
        </w:rPr>
        <w:t xml:space="preserve">Alvis: a tool for contig and read ALignment VISualisation and chimera detection. [Second-hand] </w:t>
      </w:r>
      <w:r>
        <w:rPr>
          <w:rFonts w:ascii="Calibri" w:cs="Calibri" w:eastAsia="Calibri" w:hAnsi="Calibri"/>
          <w:color w:val="444444"/>
          <w:sz w:val="19"/>
          <w:szCs w:val="19"/>
        </w:rPr>
        <w:t xml:space="preserve">doi:10.1186/s12859-021-04056-0 </w:t>
      </w:r>
    </w:p>
    <w:p>
      <w:pPr>
        <w:pStyle w:val="Heading3"/>
        <w:spacing w:after="130" w:before="260"/>
      </w:pPr>
      <w:r>
        <w:t xml:space="preserve">Software repositories</w:t>
      </w:r>
    </w:p>
    <w:p>
      <w:pPr>
        <w:spacing w:after="60"/>
        <w:ind w:left="360" w:hanging="360"/>
      </w:pPr>
      <w:r>
        <w:rPr>
          <w:rFonts w:ascii="Calibri" w:cs="Calibri" w:eastAsia="Calibri" w:hAnsi="Calibri"/>
          <w:sz w:val="19"/>
          <w:szCs w:val="19"/>
        </w:rPr>
        <w:t xml:space="preserve">Bandage — </w:t>
      </w:r>
      <w:hyperlink w:history="1" r:id="rIdlzzgt6k62eusazgwmhnuk">
        <w:r>
          <w:rPr>
            <w:rStyle w:val="Hyperlink"/>
            <w:rFonts w:ascii="Calibri" w:cs="Calibri" w:eastAsia="Calibri" w:hAnsi="Calibri"/>
            <w:sz w:val="20"/>
            <w:szCs w:val="20"/>
          </w:rPr>
          <w:t xml:space="preserve">https://rrwick.github.io/Bandage/</w:t>
        </w:r>
      </w:hyperlink>
    </w:p>
    <w:p>
      <w:pPr>
        <w:spacing w:after="60"/>
        <w:ind w:left="360" w:hanging="360"/>
      </w:pPr>
      <w:r>
        <w:rPr>
          <w:rFonts w:ascii="Calibri" w:cs="Calibri" w:eastAsia="Calibri" w:hAnsi="Calibri"/>
          <w:sz w:val="19"/>
          <w:szCs w:val="19"/>
        </w:rPr>
        <w:t xml:space="preserve">BandageNG (two independent forks) — </w:t>
      </w:r>
      <w:hyperlink w:history="1" r:id="rIdscjxsw2485naj2tzy0lll">
        <w:r>
          <w:rPr>
            <w:rStyle w:val="Hyperlink"/>
            <w:rFonts w:ascii="Calibri" w:cs="Calibri" w:eastAsia="Calibri" w:hAnsi="Calibri"/>
            <w:sz w:val="20"/>
            <w:szCs w:val="20"/>
          </w:rPr>
          <w:t xml:space="preserve">https://github.com/ctlab/BandageNG</w:t>
        </w:r>
      </w:hyperlink>
    </w:p>
    <w:p>
      <w:pPr>
        <w:spacing w:after="60"/>
        <w:ind w:left="360" w:hanging="360"/>
      </w:pPr>
      <w:r>
        <w:rPr>
          <w:rFonts w:ascii="Calibri" w:cs="Calibri" w:eastAsia="Calibri" w:hAnsi="Calibri"/>
          <w:sz w:val="19"/>
          <w:szCs w:val="19"/>
        </w:rPr>
        <w:t xml:space="preserve">MetagenomeScope — </w:t>
      </w:r>
      <w:hyperlink w:history="1" r:id="rIdc9cqn0ie6t00dloazuxlx">
        <w:r>
          <w:rPr>
            <w:rStyle w:val="Hyperlink"/>
            <w:rFonts w:ascii="Calibri" w:cs="Calibri" w:eastAsia="Calibri" w:hAnsi="Calibri"/>
            <w:sz w:val="20"/>
            <w:szCs w:val="20"/>
          </w:rPr>
          <w:t xml:space="preserve">https://github.com/marbl/MetagenomeScope</w:t>
        </w:r>
      </w:hyperlink>
    </w:p>
    <w:p>
      <w:pPr>
        <w:spacing w:after="60"/>
        <w:ind w:left="360" w:hanging="360"/>
      </w:pPr>
      <w:r>
        <w:rPr>
          <w:rFonts w:ascii="Calibri" w:cs="Calibri" w:eastAsia="Calibri" w:hAnsi="Calibri"/>
          <w:sz w:val="19"/>
          <w:szCs w:val="19"/>
        </w:rPr>
        <w:t xml:space="preserve">AGB — </w:t>
      </w:r>
      <w:hyperlink w:history="1" r:id="rIds18sdbz11qigcyoyuwqv5">
        <w:r>
          <w:rPr>
            <w:rStyle w:val="Hyperlink"/>
            <w:rFonts w:ascii="Calibri" w:cs="Calibri" w:eastAsia="Calibri" w:hAnsi="Calibri"/>
            <w:sz w:val="20"/>
            <w:szCs w:val="20"/>
          </w:rPr>
          <w:t xml:space="preserve">https://github.com/almiheenko/AGB</w:t>
        </w:r>
      </w:hyperlink>
    </w:p>
    <w:p>
      <w:pPr>
        <w:spacing w:after="60"/>
        <w:ind w:left="360" w:hanging="360"/>
      </w:pPr>
      <w:r>
        <w:rPr>
          <w:rFonts w:ascii="Calibri" w:cs="Calibri" w:eastAsia="Calibri" w:hAnsi="Calibri"/>
          <w:sz w:val="19"/>
          <w:szCs w:val="19"/>
        </w:rPr>
        <w:t xml:space="preserve">Tapestry — </w:t>
      </w:r>
      <w:hyperlink w:history="1" r:id="rIdrbes4vzy6lrvgrclod8m9">
        <w:r>
          <w:rPr>
            <w:rStyle w:val="Hyperlink"/>
            <w:rFonts w:ascii="Calibri" w:cs="Calibri" w:eastAsia="Calibri" w:hAnsi="Calibri"/>
            <w:sz w:val="20"/>
            <w:szCs w:val="20"/>
          </w:rPr>
          <w:t xml:space="preserve">https://github.com/johnomics/tapestry</w:t>
        </w:r>
      </w:hyperlink>
    </w:p>
    <w:p>
      <w:pPr>
        <w:spacing w:after="60"/>
        <w:ind w:left="360" w:hanging="360"/>
      </w:pPr>
      <w:r>
        <w:rPr>
          <w:rFonts w:ascii="Calibri" w:cs="Calibri" w:eastAsia="Calibri" w:hAnsi="Calibri"/>
          <w:sz w:val="19"/>
          <w:szCs w:val="19"/>
        </w:rPr>
        <w:t xml:space="preserve">BlobToolKit — </w:t>
      </w:r>
      <w:hyperlink w:history="1" r:id="rIdvgqtjq-yna0irjxyetlrb">
        <w:r>
          <w:rPr>
            <w:rStyle w:val="Hyperlink"/>
            <w:rFonts w:ascii="Calibri" w:cs="Calibri" w:eastAsia="Calibri" w:hAnsi="Calibri"/>
            <w:sz w:val="20"/>
            <w:szCs w:val="20"/>
          </w:rPr>
          <w:t xml:space="preserve">https://github.com/blobtoolkit/blobtoolkit</w:t>
        </w:r>
      </w:hyperlink>
    </w:p>
    <w:p>
      <w:pPr>
        <w:spacing w:after="60"/>
        <w:ind w:left="360" w:hanging="360"/>
      </w:pPr>
      <w:r>
        <w:rPr>
          <w:rFonts w:ascii="Calibri" w:cs="Calibri" w:eastAsia="Calibri" w:hAnsi="Calibri"/>
          <w:sz w:val="19"/>
          <w:szCs w:val="19"/>
        </w:rPr>
        <w:t xml:space="preserve">tidk — </w:t>
      </w:r>
      <w:hyperlink w:history="1" r:id="rIda19yxy-yfvisdelw-xmgu">
        <w:r>
          <w:rPr>
            <w:rStyle w:val="Hyperlink"/>
            <w:rFonts w:ascii="Calibri" w:cs="Calibri" w:eastAsia="Calibri" w:hAnsi="Calibri"/>
            <w:sz w:val="20"/>
            <w:szCs w:val="20"/>
          </w:rPr>
          <w:t xml:space="preserve">https://github.com/tolkit/telomeric-identifier</w:t>
        </w:r>
      </w:hyperlink>
    </w:p>
    <w:p>
      <w:pPr>
        <w:spacing w:after="60"/>
        <w:ind w:left="360" w:hanging="360"/>
      </w:pPr>
      <w:r>
        <w:rPr>
          <w:rFonts w:ascii="Calibri" w:cs="Calibri" w:eastAsia="Calibri" w:hAnsi="Calibri"/>
          <w:sz w:val="19"/>
          <w:szCs w:val="19"/>
        </w:rPr>
        <w:t xml:space="preserve">Rukki — </w:t>
      </w:r>
      <w:hyperlink w:history="1" r:id="rIdmhr3-uc283b9mlsuafq8g">
        <w:r>
          <w:rPr>
            <w:rStyle w:val="Hyperlink"/>
            <w:rFonts w:ascii="Calibri" w:cs="Calibri" w:eastAsia="Calibri" w:hAnsi="Calibri"/>
            <w:sz w:val="20"/>
            <w:szCs w:val="20"/>
          </w:rPr>
          <w:t xml:space="preserve">https://github.com/marbl/rukki</w:t>
        </w:r>
      </w:hyperlink>
    </w:p>
    <w:p>
      <w:pPr>
        <w:spacing w:after="60"/>
        <w:ind w:left="360" w:hanging="360"/>
      </w:pPr>
      <w:r>
        <w:rPr>
          <w:rFonts w:ascii="Calibri" w:cs="Calibri" w:eastAsia="Calibri" w:hAnsi="Calibri"/>
          <w:sz w:val="19"/>
          <w:szCs w:val="19"/>
        </w:rPr>
        <w:t xml:space="preserve">GraphUnzip — </w:t>
      </w:r>
      <w:hyperlink w:history="1" r:id="rIdrajc1vztnuwcnsyls7-7g">
        <w:r>
          <w:rPr>
            <w:rStyle w:val="Hyperlink"/>
            <w:rFonts w:ascii="Calibri" w:cs="Calibri" w:eastAsia="Calibri" w:hAnsi="Calibri"/>
            <w:sz w:val="20"/>
            <w:szCs w:val="20"/>
          </w:rPr>
          <w:t xml:space="preserve">https://github.com/nadegeguiglielmoni/GraphUnzip</w:t>
        </w:r>
      </w:hyperlink>
    </w:p>
    <w:p>
      <w:pPr>
        <w:spacing w:after="60"/>
        <w:ind w:left="360" w:hanging="360"/>
      </w:pPr>
      <w:r>
        <w:rPr>
          <w:rFonts w:ascii="Calibri" w:cs="Calibri" w:eastAsia="Calibri" w:hAnsi="Calibri"/>
          <w:sz w:val="19"/>
          <w:szCs w:val="19"/>
        </w:rPr>
        <w:t xml:space="preserve">GFAse — </w:t>
      </w:r>
      <w:hyperlink w:history="1" r:id="rIdmxklrbw_gjmk2vuiiwd5e">
        <w:r>
          <w:rPr>
            <w:rStyle w:val="Hyperlink"/>
            <w:rFonts w:ascii="Calibri" w:cs="Calibri" w:eastAsia="Calibri" w:hAnsi="Calibri"/>
            <w:sz w:val="20"/>
            <w:szCs w:val="20"/>
          </w:rPr>
          <w:t xml:space="preserve">https://github.com/rlorigro/GFAse</w:t>
        </w:r>
      </w:hyperlink>
    </w:p>
    <w:p>
      <w:pPr>
        <w:spacing w:after="60"/>
        <w:ind w:left="360" w:hanging="360"/>
      </w:pPr>
      <w:r>
        <w:rPr>
          <w:rFonts w:ascii="Calibri" w:cs="Calibri" w:eastAsia="Calibri" w:hAnsi="Calibri"/>
          <w:sz w:val="19"/>
          <w:szCs w:val="19"/>
        </w:rPr>
        <w:t xml:space="preserve">SALSA — </w:t>
      </w:r>
      <w:hyperlink w:history="1" r:id="rIdqx2uhyvwtzdfqytjjtbh4">
        <w:r>
          <w:rPr>
            <w:rStyle w:val="Hyperlink"/>
            <w:rFonts w:ascii="Calibri" w:cs="Calibri" w:eastAsia="Calibri" w:hAnsi="Calibri"/>
            <w:sz w:val="20"/>
            <w:szCs w:val="20"/>
          </w:rPr>
          <w:t xml:space="preserve">https://github.com/marbl/SALSA</w:t>
        </w:r>
      </w:hyperlink>
    </w:p>
    <w:p>
      <w:pPr>
        <w:spacing w:after="60"/>
        <w:ind w:left="360" w:hanging="360"/>
      </w:pPr>
      <w:r>
        <w:rPr>
          <w:rFonts w:ascii="Calibri" w:cs="Calibri" w:eastAsia="Calibri" w:hAnsi="Calibri"/>
          <w:sz w:val="19"/>
          <w:szCs w:val="19"/>
        </w:rPr>
        <w:t xml:space="preserve">YaHS — </w:t>
      </w:r>
      <w:hyperlink w:history="1" r:id="rIdykwe4vev4qcztroxkwwyd">
        <w:r>
          <w:rPr>
            <w:rStyle w:val="Hyperlink"/>
            <w:rFonts w:ascii="Calibri" w:cs="Calibri" w:eastAsia="Calibri" w:hAnsi="Calibri"/>
            <w:sz w:val="20"/>
            <w:szCs w:val="20"/>
          </w:rPr>
          <w:t xml:space="preserve">https://github.com/c-zhou/yahs</w:t>
        </w:r>
      </w:hyperlink>
    </w:p>
    <w:p>
      <w:pPr>
        <w:spacing w:after="60"/>
        <w:ind w:left="360" w:hanging="360"/>
      </w:pPr>
      <w:r>
        <w:rPr>
          <w:rFonts w:ascii="Calibri" w:cs="Calibri" w:eastAsia="Calibri" w:hAnsi="Calibri"/>
          <w:sz w:val="19"/>
          <w:szCs w:val="19"/>
        </w:rPr>
        <w:t xml:space="preserve">Verkko — </w:t>
      </w:r>
      <w:hyperlink w:history="1" r:id="rId4mhbmsx-v4fg0b-9txokf">
        <w:r>
          <w:rPr>
            <w:rStyle w:val="Hyperlink"/>
            <w:rFonts w:ascii="Calibri" w:cs="Calibri" w:eastAsia="Calibri" w:hAnsi="Calibri"/>
            <w:sz w:val="20"/>
            <w:szCs w:val="20"/>
          </w:rPr>
          <w:t xml:space="preserve">https://github.com/marbl/verkko</w:t>
        </w:r>
      </w:hyperlink>
    </w:p>
    <w:p>
      <w:pPr>
        <w:spacing w:after="60"/>
        <w:ind w:left="360" w:hanging="360"/>
      </w:pPr>
      <w:r>
        <w:rPr>
          <w:rFonts w:ascii="Calibri" w:cs="Calibri" w:eastAsia="Calibri" w:hAnsi="Calibri"/>
          <w:sz w:val="19"/>
          <w:szCs w:val="19"/>
        </w:rPr>
        <w:t xml:space="preserve">hifiasm — </w:t>
      </w:r>
      <w:hyperlink w:history="1" r:id="rIdlcmwbutdyqmgq3myxv0bf">
        <w:r>
          <w:rPr>
            <w:rStyle w:val="Hyperlink"/>
            <w:rFonts w:ascii="Calibri" w:cs="Calibri" w:eastAsia="Calibri" w:hAnsi="Calibri"/>
            <w:sz w:val="20"/>
            <w:szCs w:val="20"/>
          </w:rPr>
          <w:t xml:space="preserve">https://github.com/chhylp123/hifiasm</w:t>
        </w:r>
      </w:hyperlink>
    </w:p>
    <w:p>
      <w:pPr>
        <w:spacing w:after="60"/>
        <w:ind w:left="360" w:hanging="360"/>
      </w:pPr>
      <w:r>
        <w:rPr>
          <w:rFonts w:ascii="Calibri" w:cs="Calibri" w:eastAsia="Calibri" w:hAnsi="Calibri"/>
          <w:sz w:val="19"/>
          <w:szCs w:val="19"/>
        </w:rPr>
        <w:t xml:space="preserve">Oatk — </w:t>
      </w:r>
      <w:hyperlink w:history="1" r:id="rIdwzqrgya7lr5f4gn3nkpad">
        <w:r>
          <w:rPr>
            <w:rStyle w:val="Hyperlink"/>
            <w:rFonts w:ascii="Calibri" w:cs="Calibri" w:eastAsia="Calibri" w:hAnsi="Calibri"/>
            <w:sz w:val="20"/>
            <w:szCs w:val="20"/>
          </w:rPr>
          <w:t xml:space="preserve">https://github.com/c-zhou/oatk</w:t>
        </w:r>
      </w:hyperlink>
    </w:p>
    <w:p>
      <w:pPr>
        <w:spacing w:after="60"/>
        <w:ind w:left="360" w:hanging="360"/>
      </w:pPr>
      <w:r>
        <w:rPr>
          <w:rFonts w:ascii="Calibri" w:cs="Calibri" w:eastAsia="Calibri" w:hAnsi="Calibri"/>
          <w:sz w:val="19"/>
          <w:szCs w:val="19"/>
        </w:rPr>
        <w:t xml:space="preserve">OatkDB — </w:t>
      </w:r>
      <w:hyperlink w:history="1" r:id="rIdn_klnjh8zkunxyjgqiqda">
        <w:r>
          <w:rPr>
            <w:rStyle w:val="Hyperlink"/>
            <w:rFonts w:ascii="Calibri" w:cs="Calibri" w:eastAsia="Calibri" w:hAnsi="Calibri"/>
            <w:sz w:val="20"/>
            <w:szCs w:val="20"/>
          </w:rPr>
          <w:t xml:space="preserve">https://github.com/c-zhou/OatkDB</w:t>
        </w:r>
      </w:hyperlink>
    </w:p>
    <w:p>
      <w:pPr>
        <w:spacing w:after="60"/>
        <w:ind w:left="360" w:hanging="360"/>
      </w:pPr>
      <w:r>
        <w:rPr>
          <w:rFonts w:ascii="Calibri" w:cs="Calibri" w:eastAsia="Calibri" w:hAnsi="Calibri"/>
          <w:sz w:val="19"/>
          <w:szCs w:val="19"/>
        </w:rPr>
        <w:t xml:space="preserve">GetOrganelle — </w:t>
      </w:r>
      <w:hyperlink w:history="1" r:id="rIdjhtua_ivrr3scuvsubizo">
        <w:r>
          <w:rPr>
            <w:rStyle w:val="Hyperlink"/>
            <w:rFonts w:ascii="Calibri" w:cs="Calibri" w:eastAsia="Calibri" w:hAnsi="Calibri"/>
            <w:sz w:val="20"/>
            <w:szCs w:val="20"/>
          </w:rPr>
          <w:t xml:space="preserve">https://github.com/Kinggerm/GetOrganelle</w:t>
        </w:r>
      </w:hyperlink>
    </w:p>
    <w:p>
      <w:pPr>
        <w:spacing w:after="60"/>
        <w:ind w:left="360" w:hanging="360"/>
      </w:pPr>
      <w:r>
        <w:rPr>
          <w:rFonts w:ascii="Calibri" w:cs="Calibri" w:eastAsia="Calibri" w:hAnsi="Calibri"/>
          <w:sz w:val="19"/>
          <w:szCs w:val="19"/>
        </w:rPr>
        <w:t xml:space="preserve">Unicycler — </w:t>
      </w:r>
      <w:hyperlink w:history="1" r:id="rIdlemd-4gigttmeka7-cfto">
        <w:r>
          <w:rPr>
            <w:rStyle w:val="Hyperlink"/>
            <w:rFonts w:ascii="Calibri" w:cs="Calibri" w:eastAsia="Calibri" w:hAnsi="Calibri"/>
            <w:sz w:val="20"/>
            <w:szCs w:val="20"/>
          </w:rPr>
          <w:t xml:space="preserve">https://github.com/rrwick/Unicycler</w:t>
        </w:r>
      </w:hyperlink>
    </w:p>
    <w:p>
      <w:pPr>
        <w:spacing w:after="60"/>
        <w:ind w:left="360" w:hanging="360"/>
      </w:pPr>
      <w:r>
        <w:rPr>
          <w:rFonts w:ascii="Calibri" w:cs="Calibri" w:eastAsia="Calibri" w:hAnsi="Calibri"/>
          <w:sz w:val="19"/>
          <w:szCs w:val="19"/>
        </w:rPr>
        <w:t xml:space="preserve">Recycler — </w:t>
      </w:r>
      <w:hyperlink w:history="1" r:id="rIdvvd_bjtrxxkwrnh6f6ua3">
        <w:r>
          <w:rPr>
            <w:rStyle w:val="Hyperlink"/>
            <w:rFonts w:ascii="Calibri" w:cs="Calibri" w:eastAsia="Calibri" w:hAnsi="Calibri"/>
            <w:sz w:val="20"/>
            <w:szCs w:val="20"/>
          </w:rPr>
          <w:t xml:space="preserve">https://github.com/Shamir-Lab/Recycler</w:t>
        </w:r>
      </w:hyperlink>
    </w:p>
    <w:p>
      <w:pPr>
        <w:spacing w:after="60"/>
        <w:ind w:left="360" w:hanging="360"/>
      </w:pPr>
      <w:r>
        <w:rPr>
          <w:rFonts w:ascii="Calibri" w:cs="Calibri" w:eastAsia="Calibri" w:hAnsi="Calibri"/>
          <w:sz w:val="19"/>
          <w:szCs w:val="19"/>
        </w:rPr>
        <w:t xml:space="preserve">SCAPP — </w:t>
      </w:r>
      <w:hyperlink w:history="1" r:id="rIdqxuxwxyhjbrb4nxgdhgho">
        <w:r>
          <w:rPr>
            <w:rStyle w:val="Hyperlink"/>
            <w:rFonts w:ascii="Calibri" w:cs="Calibri" w:eastAsia="Calibri" w:hAnsi="Calibri"/>
            <w:sz w:val="20"/>
            <w:szCs w:val="20"/>
          </w:rPr>
          <w:t xml:space="preserve">https://github.com/Shamir-Lab/SCAPP</w:t>
        </w:r>
      </w:hyperlink>
    </w:p>
    <w:p>
      <w:pPr>
        <w:spacing w:after="60"/>
        <w:ind w:left="360" w:hanging="360"/>
      </w:pPr>
      <w:r>
        <w:rPr>
          <w:rFonts w:ascii="Calibri" w:cs="Calibri" w:eastAsia="Calibri" w:hAnsi="Calibri"/>
          <w:sz w:val="19"/>
          <w:szCs w:val="19"/>
        </w:rPr>
        <w:t xml:space="preserve">gplas — </w:t>
      </w:r>
      <w:hyperlink w:history="1" r:id="rIdg3g07r827y-5dw4m7c4fz">
        <w:r>
          <w:rPr>
            <w:rStyle w:val="Hyperlink"/>
            <w:rFonts w:ascii="Calibri" w:cs="Calibri" w:eastAsia="Calibri" w:hAnsi="Calibri"/>
            <w:sz w:val="20"/>
            <w:szCs w:val="20"/>
          </w:rPr>
          <w:t xml:space="preserve">https://pypi.org/project/gplas/</w:t>
        </w:r>
      </w:hyperlink>
    </w:p>
    <w:p>
      <w:pPr>
        <w:spacing w:after="60"/>
        <w:ind w:left="360" w:hanging="360"/>
      </w:pPr>
      <w:r>
        <w:rPr>
          <w:rFonts w:ascii="Calibri" w:cs="Calibri" w:eastAsia="Calibri" w:hAnsi="Calibri"/>
          <w:sz w:val="19"/>
          <w:szCs w:val="19"/>
        </w:rPr>
        <w:t xml:space="preserve">plASgraph2 — </w:t>
      </w:r>
      <w:hyperlink w:history="1" r:id="rIdqz7jezpegp_vwdigyyf16">
        <w:r>
          <w:rPr>
            <w:rStyle w:val="Hyperlink"/>
            <w:rFonts w:ascii="Calibri" w:cs="Calibri" w:eastAsia="Calibri" w:hAnsi="Calibri"/>
            <w:sz w:val="20"/>
            <w:szCs w:val="20"/>
          </w:rPr>
          <w:t xml:space="preserve">https://github.com/cchauve/plASgraph2</w:t>
        </w:r>
      </w:hyperlink>
    </w:p>
    <w:p>
      <w:pPr>
        <w:spacing w:after="60"/>
        <w:ind w:left="360" w:hanging="360"/>
      </w:pPr>
      <w:r>
        <w:rPr>
          <w:rFonts w:ascii="Calibri" w:cs="Calibri" w:eastAsia="Calibri" w:hAnsi="Calibri"/>
          <w:sz w:val="19"/>
          <w:szCs w:val="19"/>
        </w:rPr>
        <w:t xml:space="preserve">gfatools — </w:t>
      </w:r>
      <w:hyperlink w:history="1" r:id="rIdbo2l7ulwcr0p9vynzgcc5">
        <w:r>
          <w:rPr>
            <w:rStyle w:val="Hyperlink"/>
            <w:rFonts w:ascii="Calibri" w:cs="Calibri" w:eastAsia="Calibri" w:hAnsi="Calibri"/>
            <w:sz w:val="20"/>
            <w:szCs w:val="20"/>
          </w:rPr>
          <w:t xml:space="preserve">https://github.com/lh3/gfatools</w:t>
        </w:r>
      </w:hyperlink>
    </w:p>
    <w:p>
      <w:pPr>
        <w:spacing w:after="60"/>
        <w:ind w:left="360" w:hanging="360"/>
      </w:pPr>
      <w:r>
        <w:rPr>
          <w:rFonts w:ascii="Calibri" w:cs="Calibri" w:eastAsia="Calibri" w:hAnsi="Calibri"/>
          <w:sz w:val="19"/>
          <w:szCs w:val="19"/>
        </w:rPr>
        <w:t xml:space="preserve">gaftools — </w:t>
      </w:r>
      <w:hyperlink w:history="1" r:id="rIde0ktcw2a2jpsr9zt1m7ha">
        <w:r>
          <w:rPr>
            <w:rStyle w:val="Hyperlink"/>
            <w:rFonts w:ascii="Calibri" w:cs="Calibri" w:eastAsia="Calibri" w:hAnsi="Calibri"/>
            <w:sz w:val="20"/>
            <w:szCs w:val="20"/>
          </w:rPr>
          <w:t xml:space="preserve">https://github.com/marschall-lab/gaftools</w:t>
        </w:r>
      </w:hyperlink>
    </w:p>
    <w:p>
      <w:pPr>
        <w:spacing w:after="60"/>
        <w:ind w:left="360" w:hanging="360"/>
      </w:pPr>
      <w:r>
        <w:rPr>
          <w:rFonts w:ascii="Calibri" w:cs="Calibri" w:eastAsia="Calibri" w:hAnsi="Calibri"/>
          <w:sz w:val="19"/>
          <w:szCs w:val="19"/>
        </w:rPr>
        <w:t xml:space="preserve">ntLink — </w:t>
      </w:r>
      <w:hyperlink w:history="1" r:id="rIdom3mnlwl_mtopphr894tw">
        <w:r>
          <w:rPr>
            <w:rStyle w:val="Hyperlink"/>
            <w:rFonts w:ascii="Calibri" w:cs="Calibri" w:eastAsia="Calibri" w:hAnsi="Calibri"/>
            <w:sz w:val="20"/>
            <w:szCs w:val="20"/>
          </w:rPr>
          <w:t xml:space="preserve">https://github.com/bcgsc/ntLink</w:t>
        </w:r>
      </w:hyperlink>
    </w:p>
    <w:p>
      <w:pPr>
        <w:spacing w:after="60"/>
        <w:ind w:left="360" w:hanging="360"/>
      </w:pPr>
      <w:r>
        <w:rPr>
          <w:rFonts w:ascii="Calibri" w:cs="Calibri" w:eastAsia="Calibri" w:hAnsi="Calibri"/>
          <w:sz w:val="19"/>
          <w:szCs w:val="19"/>
        </w:rPr>
        <w:t xml:space="preserve">RagTag — </w:t>
      </w:r>
      <w:hyperlink w:history="1" r:id="rIdolowdhaf8okitkudldzpc">
        <w:r>
          <w:rPr>
            <w:rStyle w:val="Hyperlink"/>
            <w:rFonts w:ascii="Calibri" w:cs="Calibri" w:eastAsia="Calibri" w:hAnsi="Calibri"/>
            <w:sz w:val="20"/>
            <w:szCs w:val="20"/>
          </w:rPr>
          <w:t xml:space="preserve">https://github.com/malonge/RagTag</w:t>
        </w:r>
      </w:hyperlink>
    </w:p>
    <w:p>
      <w:pPr>
        <w:spacing w:after="60"/>
        <w:ind w:left="360" w:hanging="360"/>
      </w:pPr>
      <w:r>
        <w:rPr>
          <w:rFonts w:ascii="Calibri" w:cs="Calibri" w:eastAsia="Calibri" w:hAnsi="Calibri"/>
          <w:sz w:val="19"/>
          <w:szCs w:val="19"/>
        </w:rPr>
        <w:t xml:space="preserve">ALLHiC (unmaintained) — </w:t>
      </w:r>
      <w:hyperlink w:history="1" r:id="rIdme-enyio-88wrwl6nvavz">
        <w:r>
          <w:rPr>
            <w:rStyle w:val="Hyperlink"/>
            <w:rFonts w:ascii="Calibri" w:cs="Calibri" w:eastAsia="Calibri" w:hAnsi="Calibri"/>
            <w:sz w:val="20"/>
            <w:szCs w:val="20"/>
          </w:rPr>
          <w:t xml:space="preserve">https://github.com/tangerzhang/ALLHiC</w:t>
        </w:r>
      </w:hyperlink>
    </w:p>
    <w:p>
      <w:pPr>
        <w:spacing w:after="60"/>
        <w:ind w:left="360" w:hanging="360"/>
      </w:pPr>
      <w:r>
        <w:rPr>
          <w:rFonts w:ascii="Calibri" w:cs="Calibri" w:eastAsia="Calibri" w:hAnsi="Calibri"/>
          <w:sz w:val="19"/>
          <w:szCs w:val="19"/>
        </w:rPr>
        <w:t xml:space="preserve">Chromonomer — </w:t>
      </w:r>
      <w:hyperlink w:history="1" r:id="rIdvrniipnsp6kfuvgdohngh">
        <w:r>
          <w:rPr>
            <w:rStyle w:val="Hyperlink"/>
            <w:rFonts w:ascii="Calibri" w:cs="Calibri" w:eastAsia="Calibri" w:hAnsi="Calibri"/>
            <w:sz w:val="20"/>
            <w:szCs w:val="20"/>
          </w:rPr>
          <w:t xml:space="preserve">https://catchenlab.life.illinois.edu/chromonomer/manual/</w:t>
        </w:r>
      </w:hyperlink>
    </w:p>
    <w:p>
      <w:pPr>
        <w:spacing w:after="60"/>
        <w:ind w:left="360" w:hanging="360"/>
      </w:pPr>
      <w:r>
        <w:rPr>
          <w:rFonts w:ascii="Calibri" w:cs="Calibri" w:eastAsia="Calibri" w:hAnsi="Calibri"/>
          <w:sz w:val="19"/>
          <w:szCs w:val="19"/>
        </w:rPr>
        <w:t xml:space="preserve">PGR-TK (archived 19 April 2026) — </w:t>
      </w:r>
      <w:hyperlink w:history="1" r:id="rIdgk9zbkvwukokm6_vkkpmv">
        <w:r>
          <w:rPr>
            <w:rStyle w:val="Hyperlink"/>
            <w:rFonts w:ascii="Calibri" w:cs="Calibri" w:eastAsia="Calibri" w:hAnsi="Calibri"/>
            <w:sz w:val="20"/>
            <w:szCs w:val="20"/>
          </w:rPr>
          <w:t xml:space="preserve">https://github.com/cschin/pgr-tk</w:t>
        </w:r>
      </w:hyperlink>
    </w:p>
    <w:p>
      <w:pPr>
        <w:spacing w:after="60"/>
        <w:ind w:left="360" w:hanging="360"/>
      </w:pPr>
      <w:r>
        <w:rPr>
          <w:rFonts w:ascii="Calibri" w:cs="Calibri" w:eastAsia="Calibri" w:hAnsi="Calibri"/>
          <w:sz w:val="19"/>
          <w:szCs w:val="19"/>
        </w:rPr>
        <w:t xml:space="preserve">jcvi — </w:t>
      </w:r>
      <w:hyperlink w:history="1" r:id="rId3quuc2brfs4ys1cjjz0og">
        <w:r>
          <w:rPr>
            <w:rStyle w:val="Hyperlink"/>
            <w:rFonts w:ascii="Calibri" w:cs="Calibri" w:eastAsia="Calibri" w:hAnsi="Calibri"/>
            <w:sz w:val="20"/>
            <w:szCs w:val="20"/>
          </w:rPr>
          <w:t xml:space="preserve">https://github.com/tanghaibao/jcvi</w:t>
        </w:r>
      </w:hyperlink>
    </w:p>
    <w:p>
      <w:pPr>
        <w:spacing w:after="60"/>
        <w:ind w:left="360" w:hanging="360"/>
      </w:pPr>
      <w:r>
        <w:rPr>
          <w:rFonts w:ascii="Calibri" w:cs="Calibri" w:eastAsia="Calibri" w:hAnsi="Calibri"/>
          <w:sz w:val="19"/>
          <w:szCs w:val="19"/>
        </w:rPr>
        <w:t xml:space="preserve">Alvis — </w:t>
      </w:r>
      <w:hyperlink w:history="1" r:id="rIdfx50jyyq8clnhzxcso2z7">
        <w:r>
          <w:rPr>
            <w:rStyle w:val="Hyperlink"/>
            <w:rFonts w:ascii="Calibri" w:cs="Calibri" w:eastAsia="Calibri" w:hAnsi="Calibri"/>
            <w:sz w:val="20"/>
            <w:szCs w:val="20"/>
          </w:rPr>
          <w:t xml:space="preserve">https://github.com/SR-Martin/alvis</w:t>
        </w:r>
      </w:hyperlink>
    </w:p>
    <w:p>
      <w:pPr>
        <w:spacing w:after="60"/>
        <w:ind w:left="360" w:hanging="360"/>
      </w:pPr>
      <w:r>
        <w:rPr>
          <w:rFonts w:ascii="Calibri" w:cs="Calibri" w:eastAsia="Calibri" w:hAnsi="Calibri"/>
          <w:sz w:val="19"/>
          <w:szCs w:val="19"/>
        </w:rPr>
        <w:t xml:space="preserve">GFA-spec assembler-components (copy number as a named stage, CN segment tag) — </w:t>
      </w:r>
      <w:hyperlink w:history="1" r:id="rIdbsf6g4gzmdtlmavbbbmss">
        <w:r>
          <w:rPr>
            <w:rStyle w:val="Hyperlink"/>
            <w:rFonts w:ascii="Calibri" w:cs="Calibri" w:eastAsia="Calibri" w:hAnsi="Calibri"/>
            <w:sz w:val="20"/>
            <w:szCs w:val="20"/>
          </w:rPr>
          <w:t xml:space="preserve">https://github.com/GFA-spec/assembler-components</w:t>
        </w:r>
      </w:hyperlink>
    </w:p>
    <w:p>
      <w:pPr>
        <w:spacing w:after="60"/>
        <w:ind w:left="360" w:hanging="360"/>
      </w:pPr>
      <w:r>
        <w:rPr>
          <w:rFonts w:ascii="Calibri" w:cs="Calibri" w:eastAsia="Calibri" w:hAnsi="Calibri"/>
          <w:sz w:val="19"/>
          <w:szCs w:val="19"/>
        </w:rPr>
        <w:t xml:space="preserve">awesome-genome-visualization (the catalogue this review started from) — </w:t>
      </w:r>
      <w:hyperlink w:history="1" r:id="rIdjg1ke29_-mls6_e2vhdu1">
        <w:r>
          <w:rPr>
            <w:rStyle w:val="Hyperlink"/>
            <w:rFonts w:ascii="Calibri" w:cs="Calibri" w:eastAsia="Calibri" w:hAnsi="Calibri"/>
            <w:sz w:val="20"/>
            <w:szCs w:val="20"/>
          </w:rPr>
          <w:t xml:space="preserve">https://github.com/cmdcolin/awesome-genome-visualization</w:t>
        </w:r>
      </w:hyperlink>
    </w:p>
    <w:p>
      <w:pPr>
        <w:pStyle w:val="Heading3"/>
        <w:spacing w:after="130" w:before="260"/>
      </w:pPr>
      <w:r>
        <w:t xml:space="preserve">Other</w:t>
      </w:r>
    </w:p>
    <w:p>
      <w:pPr>
        <w:spacing w:after="60"/>
        <w:ind w:left="360" w:hanging="360"/>
      </w:pPr>
      <w:r>
        <w:rPr>
          <w:rFonts w:ascii="Calibri" w:cs="Calibri" w:eastAsia="Calibri" w:hAnsi="Calibri"/>
          <w:sz w:val="19"/>
          <w:szCs w:val="19"/>
        </w:rPr>
        <w:t xml:space="preserve">VGP genome assembly training material, cited for telomere-based assessment as documented manual practice — </w:t>
      </w:r>
      <w:hyperlink w:history="1" r:id="rIdzxvljcpfsu3l0yzttfrmn">
        <w:r>
          <w:rPr>
            <w:rStyle w:val="Hyperlink"/>
            <w:rFonts w:ascii="Calibri" w:cs="Calibri" w:eastAsia="Calibri" w:hAnsi="Calibri"/>
            <w:sz w:val="20"/>
            <w:szCs w:val="20"/>
          </w:rPr>
          <w:t xml:space="preserve">Galaxy Training Network</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A1A1A"/>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4A7BA7"/>
      <w:sz w:val="28"/>
      <w:szCs w:val="28"/>
    </w:rPr>
  </w:style>
  <w:style w:type="paragraph" w:styleId="Heading2">
    <w:name w:val="Heading 2"/>
    <w:basedOn w:val="Normal"/>
    <w:next w:val="Normal"/>
    <w:qFormat/>
    <w:pPr>
      <w:spacing w:after="110" w:before="240"/>
      <w:outlineLvl w:val="1"/>
    </w:pPr>
    <w:rPr>
      <w:rFonts w:ascii="Calibri" w:cs="Calibri" w:eastAsia="Calibri" w:hAnsi="Calibri"/>
      <w:b/>
      <w:bCs/>
      <w:color w:val="2B2B2B"/>
      <w:sz w:val="24"/>
      <w:szCs w:val="24"/>
    </w:rPr>
  </w:style>
  <w:style w:type="paragraph" w:styleId="Heading3">
    <w:name w:val="Heading 3"/>
    <w:basedOn w:val="Normal"/>
    <w:next w:val="Normal"/>
    <w:qFormat/>
    <w:pPr>
      <w:spacing w:after="90" w:before="200"/>
      <w:outlineLvl w:val="2"/>
    </w:pPr>
    <w:rPr>
      <w:rFonts w:ascii="Calibri" w:cs="Calibri" w:eastAsia="Calibri" w:hAnsi="Calibri"/>
      <w:b/>
      <w:bCs/>
      <w:i/>
      <w:i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ygopj4mv6j8z5gjzazpl" Type="http://schemas.openxmlformats.org/officeDocument/2006/relationships/hyperlink" Target="https://www.nature.com/articles/s41592-023-01914-y" TargetMode="External"/><Relationship Id="rIdqasj_itvwvzrvwjvm62z4" Type="http://schemas.openxmlformats.org/officeDocument/2006/relationships/hyperlink" Target="https://www.biorxiv.org/content/10.1101/2022.08.05.502980v2.full" TargetMode="External"/><Relationship Id="rIdflklgkahjnbnrrsimxop8" Type="http://schemas.openxmlformats.org/officeDocument/2006/relationships/hyperlink" Target="https://academic.oup.com/bioinformatics/article/35/18/3476/5306331" TargetMode="External"/><Relationship Id="rIdt5g7fseyun4dipgxpdqf2" Type="http://schemas.openxmlformats.org/officeDocument/2006/relationships/hyperlink" Target="https://www.biorxiv.org/content/10.1101/2020.04.24.059402v1" TargetMode="External"/><Relationship Id="rIdq77yyikg8pkmla7jks6vv" Type="http://schemas.openxmlformats.org/officeDocument/2006/relationships/hyperlink" Target="https://academic.oup.com/g3journal/article/10/4/1361/6026202" TargetMode="External"/><Relationship Id="rIdxhcxlziuyjl-of5rbdbjj" Type="http://schemas.openxmlformats.org/officeDocument/2006/relationships/hyperlink" Target="https://academic.oup.com/bioinformatics/article/41/2/btaf049/7994463" TargetMode="External"/><Relationship Id="rIdmsjg_-zn8sop0et_eufar" Type="http://schemas.openxmlformats.org/officeDocument/2006/relationships/hyperlink" Target="https://academic.oup.com/hr/article/10/8/uhad127/7197191" TargetMode="External"/><Relationship Id="rIdd1oh-0blmp7arp63npp0n" Type="http://schemas.openxmlformats.org/officeDocument/2006/relationships/hyperlink" Target="https://academic.oup.com/bioinformatics/article/38/17/4214/6633308" TargetMode="External"/><Relationship Id="rIdn_eveeegp44rnuoxke8_f" Type="http://schemas.openxmlformats.org/officeDocument/2006/relationships/hyperlink" Target="https://genomebiology.biomedcentral.com/articles/10.1186/s13059-025-03676-6" TargetMode="External"/><Relationship Id="rIdi2c0agw1ogwd3iztspc_e" Type="http://schemas.openxmlformats.org/officeDocument/2006/relationships/hyperlink" Target="https://www.biorxiv.org/content/10.1101/2024.10.23.619857v1.full" TargetMode="External"/><Relationship Id="rIddjfc8-rjna8irsgc6bjpa" Type="http://schemas.openxmlformats.org/officeDocument/2006/relationships/hyperlink" Target="https://genomebiology.biomedcentral.com/articles/10.1186/s13059-020-02154-5" TargetMode="External"/><Relationship Id="rId3oqy4_3ayq1vohzzof-ms" Type="http://schemas.openxmlformats.org/officeDocument/2006/relationships/hyperlink" Target="https://link.springer.com/article/10.1186/s40168-021-01068-z" TargetMode="External"/><Relationship Id="rIddrkhrlbax0tltnkeih2b2" Type="http://schemas.openxmlformats.org/officeDocument/2006/relationships/hyperlink" Target="https://pmc.ncbi.nlm.nih.gov/articles/PMC6719893/" TargetMode="External"/><Relationship Id="rIdpdx59qbxayez2uxhoxuvr" Type="http://schemas.openxmlformats.org/officeDocument/2006/relationships/hyperlink" Target="https://link.springer.com/article/10.1186/s12859-022-05087-x" TargetMode="External"/><Relationship Id="rIdj4io_hvp9pn2pyhbi54rj" Type="http://schemas.openxmlformats.org/officeDocument/2006/relationships/hyperlink" Target="https://hal.science/hal-03441016/" TargetMode="External"/><Relationship Id="rIdpivx8xfqbl30pddjexgkx" Type="http://schemas.openxmlformats.org/officeDocument/2006/relationships/hyperlink" Target="https://doi.org/10.1093/nar/gkag506" TargetMode="External"/><Relationship Id="rIdlzzgt6k62eusazgwmhnuk" Type="http://schemas.openxmlformats.org/officeDocument/2006/relationships/hyperlink" Target="https://rrwick.github.io/Bandage/" TargetMode="External"/><Relationship Id="rIdscjxsw2485naj2tzy0lll" Type="http://schemas.openxmlformats.org/officeDocument/2006/relationships/hyperlink" Target="https://github.com/ctlab/BandageNG" TargetMode="External"/><Relationship Id="rIdc9cqn0ie6t00dloazuxlx" Type="http://schemas.openxmlformats.org/officeDocument/2006/relationships/hyperlink" Target="https://github.com/marbl/MetagenomeScope" TargetMode="External"/><Relationship Id="rIds18sdbz11qigcyoyuwqv5" Type="http://schemas.openxmlformats.org/officeDocument/2006/relationships/hyperlink" Target="https://github.com/almiheenko/AGB" TargetMode="External"/><Relationship Id="rIdrbes4vzy6lrvgrclod8m9" Type="http://schemas.openxmlformats.org/officeDocument/2006/relationships/hyperlink" Target="https://github.com/johnomics/tapestry" TargetMode="External"/><Relationship Id="rIdvgqtjq-yna0irjxyetlrb" Type="http://schemas.openxmlformats.org/officeDocument/2006/relationships/hyperlink" Target="https://github.com/blobtoolkit/blobtoolkit" TargetMode="External"/><Relationship Id="rIda19yxy-yfvisdelw-xmgu" Type="http://schemas.openxmlformats.org/officeDocument/2006/relationships/hyperlink" Target="https://github.com/tolkit/telomeric-identifier" TargetMode="External"/><Relationship Id="rIdmhr3-uc283b9mlsuafq8g" Type="http://schemas.openxmlformats.org/officeDocument/2006/relationships/hyperlink" Target="https://github.com/marbl/rukki" TargetMode="External"/><Relationship Id="rIdrajc1vztnuwcnsyls7-7g" Type="http://schemas.openxmlformats.org/officeDocument/2006/relationships/hyperlink" Target="https://github.com/nadegeguiglielmoni/GraphUnzip" TargetMode="External"/><Relationship Id="rIdmxklrbw_gjmk2vuiiwd5e" Type="http://schemas.openxmlformats.org/officeDocument/2006/relationships/hyperlink" Target="https://github.com/rlorigro/GFAse" TargetMode="External"/><Relationship Id="rIdqx2uhyvwtzdfqytjjtbh4" Type="http://schemas.openxmlformats.org/officeDocument/2006/relationships/hyperlink" Target="https://github.com/marbl/SALSA" TargetMode="External"/><Relationship Id="rIdykwe4vev4qcztroxkwwyd" Type="http://schemas.openxmlformats.org/officeDocument/2006/relationships/hyperlink" Target="https://github.com/c-zhou/yahs" TargetMode="External"/><Relationship Id="rId4mhbmsx-v4fg0b-9txokf" Type="http://schemas.openxmlformats.org/officeDocument/2006/relationships/hyperlink" Target="https://github.com/marbl/verkko" TargetMode="External"/><Relationship Id="rIdlcmwbutdyqmgq3myxv0bf" Type="http://schemas.openxmlformats.org/officeDocument/2006/relationships/hyperlink" Target="https://github.com/chhylp123/hifiasm" TargetMode="External"/><Relationship Id="rIdwzqrgya7lr5f4gn3nkpad" Type="http://schemas.openxmlformats.org/officeDocument/2006/relationships/hyperlink" Target="https://github.com/c-zhou/oatk" TargetMode="External"/><Relationship Id="rIdn_klnjh8zkunxyjgqiqda" Type="http://schemas.openxmlformats.org/officeDocument/2006/relationships/hyperlink" Target="https://github.com/c-zhou/OatkDB" TargetMode="External"/><Relationship Id="rIdjhtua_ivrr3scuvsubizo" Type="http://schemas.openxmlformats.org/officeDocument/2006/relationships/hyperlink" Target="https://github.com/Kinggerm/GetOrganelle" TargetMode="External"/><Relationship Id="rIdlemd-4gigttmeka7-cfto" Type="http://schemas.openxmlformats.org/officeDocument/2006/relationships/hyperlink" Target="https://github.com/rrwick/Unicycler" TargetMode="External"/><Relationship Id="rIdvvd_bjtrxxkwrnh6f6ua3" Type="http://schemas.openxmlformats.org/officeDocument/2006/relationships/hyperlink" Target="https://github.com/Shamir-Lab/Recycler" TargetMode="External"/><Relationship Id="rIdqxuxwxyhjbrb4nxgdhgho" Type="http://schemas.openxmlformats.org/officeDocument/2006/relationships/hyperlink" Target="https://github.com/Shamir-Lab/SCAPP" TargetMode="External"/><Relationship Id="rIdg3g07r827y-5dw4m7c4fz" Type="http://schemas.openxmlformats.org/officeDocument/2006/relationships/hyperlink" Target="https://pypi.org/project/gplas/" TargetMode="External"/><Relationship Id="rIdqz7jezpegp_vwdigyyf16" Type="http://schemas.openxmlformats.org/officeDocument/2006/relationships/hyperlink" Target="https://github.com/cchauve/plASgraph2" TargetMode="External"/><Relationship Id="rIdbo2l7ulwcr0p9vynzgcc5" Type="http://schemas.openxmlformats.org/officeDocument/2006/relationships/hyperlink" Target="https://github.com/lh3/gfatools" TargetMode="External"/><Relationship Id="rIde0ktcw2a2jpsr9zt1m7ha" Type="http://schemas.openxmlformats.org/officeDocument/2006/relationships/hyperlink" Target="https://github.com/marschall-lab/gaftools" TargetMode="External"/><Relationship Id="rIdom3mnlwl_mtopphr894tw" Type="http://schemas.openxmlformats.org/officeDocument/2006/relationships/hyperlink" Target="https://github.com/bcgsc/ntLink" TargetMode="External"/><Relationship Id="rIdolowdhaf8okitkudldzpc" Type="http://schemas.openxmlformats.org/officeDocument/2006/relationships/hyperlink" Target="https://github.com/malonge/RagTag" TargetMode="External"/><Relationship Id="rIdme-enyio-88wrwl6nvavz" Type="http://schemas.openxmlformats.org/officeDocument/2006/relationships/hyperlink" Target="https://github.com/tangerzhang/ALLHiC" TargetMode="External"/><Relationship Id="rIdvrniipnsp6kfuvgdohngh" Type="http://schemas.openxmlformats.org/officeDocument/2006/relationships/hyperlink" Target="https://catchenlab.life.illinois.edu/chromonomer/manual/" TargetMode="External"/><Relationship Id="rIdgk9zbkvwukokm6_vkkpmv" Type="http://schemas.openxmlformats.org/officeDocument/2006/relationships/hyperlink" Target="https://github.com/cschin/pgr-tk" TargetMode="External"/><Relationship Id="rId3quuc2brfs4ys1cjjz0og" Type="http://schemas.openxmlformats.org/officeDocument/2006/relationships/hyperlink" Target="https://github.com/tanghaibao/jcvi" TargetMode="External"/><Relationship Id="rIdfx50jyyq8clnhzxcso2z7" Type="http://schemas.openxmlformats.org/officeDocument/2006/relationships/hyperlink" Target="https://github.com/SR-Martin/alvis" TargetMode="External"/><Relationship Id="rIdbsf6g4gzmdtlmavbbbmss" Type="http://schemas.openxmlformats.org/officeDocument/2006/relationships/hyperlink" Target="https://github.com/GFA-spec/assembler-components" TargetMode="External"/><Relationship Id="rIdjg1ke29_-mls6_e2vhdu1" Type="http://schemas.openxmlformats.org/officeDocument/2006/relationships/hyperlink" Target="https://github.com/cmdcolin/awesome-genome-visualization" TargetMode="External"/><Relationship Id="rIdzxvljcpfsu3l0yzttfrmn" Type="http://schemas.openxmlformats.org/officeDocument/2006/relationships/hyperlink" Target="https://training.galaxyproject.org/training-material/topics/assembly/tutorials/vgp_genome_assembly/tutorial.html"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Reconstructing chromosome structure from an assembly graph</dc:title>
  <dc:creator>Anna Syme</dc:creator>
  <cp:lastModifiedBy>Un-named</cp:lastModifiedBy>
  <cp:revision>1</cp:revision>
  <dcterms:created xsi:type="dcterms:W3CDTF">2026-08-06T09:58:35.583Z</dcterms:created>
  <dcterms:modified xsi:type="dcterms:W3CDTF">2026-08-06T09:58:35.583Z</dcterms:modified>
</cp:coreProperties>
</file>

<file path=docProps/custom.xml><?xml version="1.0" encoding="utf-8"?>
<Properties xmlns="http://schemas.openxmlformats.org/officeDocument/2006/custom-properties" xmlns:vt="http://schemas.openxmlformats.org/officeDocument/2006/docPropsVTypes"/>
</file>