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Security-Enhanced Linux (SELinux) - это метод контроля доступа в Linux на основе модуля ядра Linux Security (LSM). SELinux включен по умолчанию во многих дистрибутивах на основе Red Hat, использующих пакетную базу rpm, например, Fedora, CentOS и т д.</w:t>
      </w:r>
    </w:p>
    <w:p>
      <w:pPr>
        <w:pStyle w:val="BodyText"/>
      </w:pPr>
      <w:r>
        <w:t xml:space="preserve">SELinux представляет собой систему маркировки, каждый процесс имеет метку. Каждый файл, каталог или даже пользователь в системе имеет метку. Даже портам и устройствам и именам хостов в системе присвоены метки. SELinux определяет правила доступа процесса к объектам с определенными метками. Это и называется политикой. За соблюдением правил следит ядро. Иногда это еще называется обязательный контроль доступа (Mandatory Access Control, MAC)</w:t>
      </w:r>
    </w:p>
    <w:p>
      <w:pPr>
        <w:pStyle w:val="BodyText"/>
      </w:pPr>
      <w:r>
        <w:t xml:space="preserve">Владелец файла не имеет полной свободы действий над атрибутами безопасности. Стандартные атрибуты контроля доступа, такие как группа и владелец ничего не значат для SELinux. Полностью все управляется метками. Значения атрибутов могут быть установлены и без прав root, но на это нужно иметь специальные полномочия SELinux</w:t>
      </w:r>
      <w:r>
        <w:t xml:space="preserve"> </w:t>
      </w:r>
      <w:r>
        <w:t xml:space="preserve">[1]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Apache - это популярнейший свободный веб-сервер. Состоянием на 2020 год он используется на 33% всех сайтов интернета, а это приблизительно 304 миллиарда сайтов. Этот веб-сервер был разработан в далеком 1995, как замена для популярного того сервера NCSA и исправил множество его проблем. Ходят слухи что его имя походит от a patchy, заплатка, так как он исправлял ошибки NCSA. Сейчас же, это кроссплатформенная программа, поддерживающая Windows, Linux и MacOS и обеспечивающая достаточную гибкость, настраиваемость и функциональность. Программа имеет модульную структуру, что позволяет расширять ее функциональность почти до бесконечности с помощью модулей</w:t>
      </w:r>
      <w:r>
        <w:t xml:space="preserve"> </w:t>
      </w:r>
      <w:r>
        <w:t xml:space="preserve">[2]</w:t>
      </w:r>
      <w:r>
        <w:t xml:space="preserve"> </w:t>
      </w:r>
      <w:r>
        <w:t xml:space="preserve">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Убедились, что SELinux работает в режиме enforcing при политике targeted. Установили и запустили web-сервер apache (см. рис. ??).</w:t>
      </w:r>
    </w:p>
    <w:p>
      <w:pPr>
        <w:pStyle w:val="CaptionedFigure"/>
      </w:pPr>
      <w:r>
        <w:drawing>
          <wp:inline>
            <wp:extent cx="4800600" cy="4920438"/>
            <wp:effectExtent b="0" l="0" r="0" t="0"/>
            <wp:docPr descr="Проверка готовности к выполнению лабораторной работы" title="fig:" id="23" name="Picture"/>
            <a:graphic>
              <a:graphicData uri="http://schemas.openxmlformats.org/drawingml/2006/picture">
                <pic:pic>
                  <pic:nvPicPr>
                    <pic:cNvPr descr="image/6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2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готовности к выполнению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Получили контекст процесса Apache. Посмотрели текущее состояние переключателей SELinux для Apache (см. рис. ??).</w:t>
      </w:r>
    </w:p>
    <w:p>
      <w:pPr>
        <w:pStyle w:val="CaptionedFigure"/>
      </w:pPr>
      <w:r>
        <w:drawing>
          <wp:inline>
            <wp:extent cx="4800600" cy="4481484"/>
            <wp:effectExtent b="0" l="0" r="0" t="0"/>
            <wp:docPr descr="Контекст процесса Apache. Состояние переключателей SELinux для Apache" title="fig:" id="26" name="Picture"/>
            <a:graphic>
              <a:graphicData uri="http://schemas.openxmlformats.org/drawingml/2006/picture">
                <pic:pic>
                  <pic:nvPicPr>
                    <pic:cNvPr descr="image/6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8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процесса Apache. Состояние переключателей SELinux для Apache</w:t>
      </w:r>
    </w:p>
    <w:p>
      <w:pPr>
        <w:numPr>
          <w:ilvl w:val="0"/>
          <w:numId w:val="1003"/>
        </w:numPr>
        <w:pStyle w:val="Compact"/>
      </w:pPr>
      <w:r>
        <w:t xml:space="preserve">Посмотрели статистику по политике с помощью команды seinfo (см. рис. ??), определили множество пользователей, ролей, типов (см. рис. ??).</w:t>
      </w:r>
    </w:p>
    <w:p>
      <w:pPr>
        <w:pStyle w:val="CaptionedFigure"/>
      </w:pPr>
      <w:r>
        <w:drawing>
          <wp:inline>
            <wp:extent cx="3672968" cy="5509452"/>
            <wp:effectExtent b="0" l="0" r="0" t="0"/>
            <wp:docPr descr="Статистика по политике" title="fig:" id="29" name="Picture"/>
            <a:graphic>
              <a:graphicData uri="http://schemas.openxmlformats.org/drawingml/2006/picture">
                <pic:pic>
                  <pic:nvPicPr>
                    <pic:cNvPr descr="image/6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CaptionedFigure"/>
      </w:pPr>
      <w:r>
        <w:drawing>
          <wp:inline>
            <wp:extent cx="2712463" cy="1475334"/>
            <wp:effectExtent b="0" l="0" r="0" t="0"/>
            <wp:docPr descr="Множество пользователей" title="fig:" id="32" name="Picture"/>
            <a:graphic>
              <a:graphicData uri="http://schemas.openxmlformats.org/drawingml/2006/picture">
                <pic:pic>
                  <pic:nvPicPr>
                    <pic:cNvPr descr="image/6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Множество пользователей</w:t>
      </w:r>
    </w:p>
    <w:p>
      <w:pPr>
        <w:numPr>
          <w:ilvl w:val="0"/>
          <w:numId w:val="1004"/>
        </w:numPr>
        <w:pStyle w:val="Compact"/>
      </w:pPr>
      <w:r>
        <w:t xml:space="preserve">Определили тип файлов и поддиректорий, находящихся в директориях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Для последней директории установлены права rwxr_xr_x. Создали в ней простой html файл. По умолчанию ему был присвоен контекст unconfined_u:object_r:httpd_sys_content_t:s0. Обратились к фйлу через браузер (см. рис. ??).</w:t>
      </w:r>
    </w:p>
    <w:p>
      <w:pPr>
        <w:pStyle w:val="CaptionedFigure"/>
      </w:pPr>
      <w:r>
        <w:drawing>
          <wp:inline>
            <wp:extent cx="4800600" cy="3547984"/>
            <wp:effectExtent b="0" l="0" r="0" t="0"/>
            <wp:docPr descr="Изучение контекстов и отображение созданного html файла" title="fig:" id="35" name="Picture"/>
            <a:graphic>
              <a:graphicData uri="http://schemas.openxmlformats.org/drawingml/2006/picture">
                <pic:pic>
                  <pic:nvPicPr>
                    <pic:cNvPr descr="image/6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4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контекстов и отображение созданного html файла</w:t>
      </w:r>
    </w:p>
    <w:p>
      <w:pPr>
        <w:numPr>
          <w:ilvl w:val="0"/>
          <w:numId w:val="1005"/>
        </w:numPr>
        <w:pStyle w:val="Compact"/>
      </w:pPr>
      <w:r>
        <w:t xml:space="preserve">Изменили контекст созданного html файла на тот, к которому процесс httpd не</w:t>
      </w:r>
      <w:r>
        <w:t xml:space="preserve"> </w:t>
      </w:r>
      <w:r>
        <w:t xml:space="preserve">должен иметь доступа и получили ошибку при обращении к файлу через браузер (см. рис. ??).</w:t>
      </w:r>
    </w:p>
    <w:p>
      <w:pPr>
        <w:pStyle w:val="CaptionedFigure"/>
      </w:pPr>
      <w:r>
        <w:drawing>
          <wp:inline>
            <wp:extent cx="4800600" cy="777058"/>
            <wp:effectExtent b="0" l="0" r="0" t="0"/>
            <wp:docPr descr="Ошибка приобращении к html файлу с измененным контекстом" title="fig:" id="38" name="Picture"/>
            <a:graphic>
              <a:graphicData uri="http://schemas.openxmlformats.org/drawingml/2006/picture">
                <pic:pic>
                  <pic:nvPicPr>
                    <pic:cNvPr descr="image/6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приобращении к html файлу с измененным контекстом</w:t>
      </w:r>
    </w:p>
    <w:p>
      <w:pPr>
        <w:numPr>
          <w:ilvl w:val="0"/>
          <w:numId w:val="1006"/>
        </w:numPr>
        <w:pStyle w:val="Compact"/>
      </w:pPr>
      <w:r>
        <w:t xml:space="preserve">Посмотрели лог файлы (см. рис. ??).</w:t>
      </w:r>
    </w:p>
    <w:p>
      <w:pPr>
        <w:pStyle w:val="CaptionedFigure"/>
      </w:pPr>
      <w:r>
        <w:drawing>
          <wp:inline>
            <wp:extent cx="4800600" cy="3163135"/>
            <wp:effectExtent b="0" l="0" r="0" t="0"/>
            <wp:docPr descr="Лог файлы" title="fig:" id="41" name="Picture"/>
            <a:graphic>
              <a:graphicData uri="http://schemas.openxmlformats.org/drawingml/2006/picture">
                <pic:pic>
                  <pic:nvPicPr>
                    <pic:cNvPr descr="image/6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 файлы</w:t>
      </w:r>
    </w:p>
    <w:p>
      <w:pPr>
        <w:numPr>
          <w:ilvl w:val="0"/>
          <w:numId w:val="1007"/>
        </w:numPr>
        <w:pStyle w:val="Compact"/>
      </w:pPr>
      <w:r>
        <w:t xml:space="preserve">Запуститили веб-сервер Apache на прослушивание ТСР-порта (см. рис. ??).</w:t>
      </w:r>
    </w:p>
    <w:p>
      <w:pPr>
        <w:pStyle w:val="CaptionedFigure"/>
      </w:pPr>
      <w:r>
        <w:drawing>
          <wp:inline>
            <wp:extent cx="4800600" cy="2944174"/>
            <wp:effectExtent b="0" l="0" r="0" t="0"/>
            <wp:docPr descr="Смена порта" title="fig:" id="44" name="Picture"/>
            <a:graphic>
              <a:graphicData uri="http://schemas.openxmlformats.org/drawingml/2006/picture">
                <pic:pic>
                  <pic:nvPicPr>
                    <pic:cNvPr descr="image/6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порта</w:t>
      </w:r>
    </w:p>
    <w:p>
      <w:pPr>
        <w:numPr>
          <w:ilvl w:val="0"/>
          <w:numId w:val="1008"/>
        </w:numPr>
        <w:pStyle w:val="Compact"/>
      </w:pPr>
      <w:r>
        <w:t xml:space="preserve">Посмотрели лог файлы, недавно был обновлен файл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 </w:t>
      </w:r>
      <w:r>
        <w:t xml:space="preserve">(см. рис. ??).</w:t>
      </w:r>
    </w:p>
    <w:p>
      <w:pPr>
        <w:pStyle w:val="CaptionedFigure"/>
      </w:pPr>
      <w:r>
        <w:drawing>
          <wp:inline>
            <wp:extent cx="4800600" cy="2735044"/>
            <wp:effectExtent b="0" l="0" r="0" t="0"/>
            <wp:docPr descr="Смена порта" title="fig:" id="47" name="Picture"/>
            <a:graphic>
              <a:graphicData uri="http://schemas.openxmlformats.org/drawingml/2006/picture">
                <pic:pic>
                  <pic:nvPicPr>
                    <pic:cNvPr descr="image/6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3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порта</w:t>
      </w:r>
    </w:p>
    <w:p>
      <w:pPr>
        <w:numPr>
          <w:ilvl w:val="0"/>
          <w:numId w:val="1009"/>
        </w:numPr>
        <w:pStyle w:val="Compact"/>
      </w:pPr>
      <w:r>
        <w:t xml:space="preserve">Выполнили поднастройку политики командой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, вернули html файлу прежний контекст, обратились к нему из браузера (см. рис. ??).</w:t>
      </w:r>
    </w:p>
    <w:p>
      <w:pPr>
        <w:pStyle w:val="CaptionedFigure"/>
      </w:pPr>
      <w:r>
        <w:drawing>
          <wp:inline>
            <wp:extent cx="4800600" cy="697486"/>
            <wp:effectExtent b="0" l="0" r="0" t="0"/>
            <wp:docPr descr="Возвращение контекста html файлу и обращение через браузер" title="fig:" id="50" name="Picture"/>
            <a:graphic>
              <a:graphicData uri="http://schemas.openxmlformats.org/drawingml/2006/picture">
                <pic:pic>
                  <pic:nvPicPr>
                    <pic:cNvPr descr="image/6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контекста html файлу и обращение через браузер</w:t>
      </w:r>
    </w:p>
    <w:p>
      <w:pPr>
        <w:numPr>
          <w:ilvl w:val="0"/>
          <w:numId w:val="1010"/>
        </w:numPr>
        <w:pStyle w:val="Compact"/>
      </w:pPr>
      <w:r>
        <w:t xml:space="preserve">Восстановление всех изменений (см. рис. ??).</w:t>
      </w:r>
    </w:p>
    <w:p>
      <w:pPr>
        <w:pStyle w:val="CaptionedFigure"/>
      </w:pPr>
      <w:r>
        <w:drawing>
          <wp:inline>
            <wp:extent cx="4800600" cy="1264476"/>
            <wp:effectExtent b="0" l="0" r="0" t="0"/>
            <wp:docPr descr="Восстановление всех изменений" title="fig:" id="53" name="Picture"/>
            <a:graphic>
              <a:graphicData uri="http://schemas.openxmlformats.org/drawingml/2006/picture">
                <pic:pic>
                  <pic:nvPicPr>
                    <pic:cNvPr descr="image/6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Восстановление всех изменений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SELinux. Проверили работу SELinx на практике совместно с веб-сервером Apache.</w:t>
      </w:r>
    </w:p>
    <w:bookmarkEnd w:id="56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7" w:name="ref-se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Vermeulen S.</w:t>
      </w:r>
      <w:r>
        <w:t xml:space="preserve"> </w:t>
      </w:r>
      <w:r>
        <w:t xml:space="preserve">SELinux System Administration</w:t>
      </w:r>
      <w:r>
        <w:t xml:space="preserve">. Packt Publishing Ltd., 2001. 336 с.</w:t>
      </w:r>
    </w:p>
    <w:bookmarkEnd w:id="57"/>
    <w:bookmarkStart w:id="58" w:name="ref-apach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Хокинс, Скотт.</w:t>
      </w:r>
      <w:r>
        <w:t xml:space="preserve"> </w:t>
      </w:r>
      <w:r>
        <w:t xml:space="preserve">Администрирование web-сервера apache и руководство по электронной коммерции</w:t>
      </w:r>
      <w:r>
        <w:t xml:space="preserve">.</w:t>
      </w:r>
      <w:r>
        <w:t xml:space="preserve"> </w:t>
      </w:r>
      <w:r>
        <w:t xml:space="preserve">Издательский дом Вильям</w:t>
      </w:r>
      <w:r>
        <w:t xml:space="preserve">, 2020. 459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2023-09-14T20:01:08Z</dcterms:created>
  <dcterms:modified xsi:type="dcterms:W3CDTF">2023-09-14T20:01:08Z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