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br/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br/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Создана программа, шифрующая сообщение по ключу.</w:t>
      </w:r>
    </w:p>
    <w:p>
      <w:pPr>
        <w:numPr>
          <w:ilvl w:val="0"/>
          <w:numId w:val="1001"/>
        </w:numPr>
      </w:pPr>
      <w:r>
        <w:t xml:space="preserve">Создана программа, определяющая ключ по шифру и исходному тексту.</w:t>
      </w:r>
    </w:p>
    <w:p>
      <w:pPr>
        <w:numPr>
          <w:ilvl w:val="0"/>
          <w:numId w:val="1001"/>
        </w:numPr>
      </w:pPr>
      <w:r>
        <w:t xml:space="preserve">Программа проверена на данных из пособия (см. рис. ??)</w:t>
      </w:r>
    </w:p>
    <w:p>
      <w:pPr>
        <w:pStyle w:val="CaptionedFigure"/>
      </w:pPr>
      <w:r>
        <w:drawing>
          <wp:inline>
            <wp:extent cx="5280660" cy="2311842"/>
            <wp:effectExtent b="0" l="0" r="0" t="0"/>
            <wp:docPr descr="Программа шифрования" title="fig:" id="24" name="Picture"/>
            <a:graphic>
              <a:graphicData uri="http://schemas.openxmlformats.org/drawingml/2006/picture">
                <pic:pic>
                  <pic:nvPicPr>
                    <pic:cNvPr descr="image/7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1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шифрования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реализовали метод однократного гаммирования</w:t>
      </w:r>
    </w:p>
    <w:bookmarkEnd w:id="27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Start w:id="28" w:name="ref-cryp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А.А. Аргановский, Р.А.Хади. Практическая криптография: алгоритмы и их программирование. солон пресс, 2009.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2023-09-14T20:21:04Z</dcterms:created>
  <dcterms:modified xsi:type="dcterms:W3CDTF">2023-09-14T20:21:04Z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