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Author"/>
      </w:pPr>
      <w:r>
        <w:t xml:space="preserve">Живцова 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вероятностные алгоритмы проверки чисел на простоту.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алгоритмы тестов Ферма, Соловэя-Штрассена, Миллера-Рабина.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Простые числа широко применяются в криптографии с открытым ключем. Подробнее в источниках</w:t>
      </w:r>
      <w:r>
        <w:t xml:space="preserve"> </w:t>
      </w:r>
      <w:r>
        <w:t xml:space="preserve">[1,2]</w:t>
      </w:r>
      <w:r>
        <w:t xml:space="preserve">. Алгоритмы проверки на простоту можно разделить на детерминированные и вероятностные. Вероятностные, возможно, вычислительно менее сложные, однако они позволяют дать ответ лишь с некоторой вероятностью. Иногда этого бывает достаточно. Рассмотрим несколько вероятностных тстов на простоту и приведем ключевые факты, на которых основаны тесты. Дале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– простое число, и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p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– произвольное число.</w:t>
      </w:r>
    </w:p>
    <w:p>
      <w:pPr>
        <w:pStyle w:val="BodyText"/>
      </w:pPr>
      <w:r>
        <w:rPr>
          <w:b/>
          <w:bCs/>
        </w:rPr>
        <w:t xml:space="preserve">Тест Ферма.</w:t>
      </w:r>
      <w:r>
        <w:t xml:space="preserve"> </w:t>
      </w:r>
      <w:r>
        <w:t xml:space="preserve">основан на следующем факте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p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≡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o</m:t>
              </m:r>
              <m:r>
                <m:t>d</m:t>
              </m:r>
              <m:r>
                <m:t> </m:t>
              </m:r>
              <m:r>
                <m:t>p</m:t>
              </m:r>
            </m:e>
          </m:d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Тест Соловэя-Штрассена.</w:t>
      </w:r>
      <w:r>
        <w:t xml:space="preserve"> </w:t>
      </w:r>
      <w:r>
        <w:t xml:space="preserve">основан на критерии Эйлера</w:t>
      </w:r>
      <w:r>
        <w:br/>
      </w:r>
      <w:r>
        <w:t xml:space="preserve">&gt;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f>
                <m:fPr>
                  <m:type m:val="bar"/>
                </m:fPr>
                <m:num>
                  <m:r>
                    <m:t>p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≡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p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o</m:t>
              </m:r>
              <m:r>
                <m:t>d</m:t>
              </m:r>
              <m:r>
                <m:t> </m:t>
              </m:r>
              <m:r>
                <m:t>p</m:t>
              </m:r>
            </m:e>
          </m:d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Тест Миллера-Рабина.</w:t>
      </w:r>
      <w:r>
        <w:t xml:space="preserve"> </w:t>
      </w:r>
      <w:r>
        <w:t xml:space="preserve">основан на тесте Ферма.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этом разделе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число, которое требуется проверить на простоту.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нечетно и больше 5.</w:t>
      </w:r>
    </w:p>
    <w:bookmarkStart w:id="23" w:name="тест-ферм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Тест Ферма</w:t>
      </w:r>
    </w:p>
    <w:p>
      <w:pPr>
        <w:pStyle w:val="FirstParagraph"/>
      </w:pPr>
      <w:r>
        <w:t xml:space="preserve">Для реализации теста Ферма на языке Python была написанна следующая функция.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ferma(n):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'Число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 вероятно, простое'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'Число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составное'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(n) </w:t>
      </w:r>
    </w:p>
    <w:bookmarkEnd w:id="23"/>
    <w:bookmarkStart w:id="24" w:name="тест-соловэя-штрассен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Тест Соловэя-Штрассена</w:t>
      </w:r>
    </w:p>
    <w:p>
      <w:pPr>
        <w:pStyle w:val="FirstParagraph"/>
      </w:pPr>
      <w:r>
        <w:t xml:space="preserve">Для реализации теста отдельно была реализована функция рассчета символя Якоби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yakoby(n, a,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a1 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a1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a1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yakoby(n, a, g)</w:t>
      </w:r>
    </w:p>
    <w:p>
      <w:pPr>
        <w:pStyle w:val="FirstParagraph"/>
      </w:pPr>
      <w:r>
        <w:t xml:space="preserve">Сам тест реализован с помощью функции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s_sh(n):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'Число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составное'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yakoby(n, 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'Число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составное'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'Число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 вероятно, простое'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(n)</w:t>
      </w:r>
    </w:p>
    <w:bookmarkEnd w:id="24"/>
    <w:bookmarkStart w:id="25" w:name="тест-миллера-рабин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Тест Миллера-Рабина</w:t>
      </w:r>
    </w:p>
    <w:p>
      <w:pPr>
        <w:pStyle w:val="FirstParagraph"/>
      </w:pPr>
      <w:r>
        <w:t xml:space="preserve">Данный тест реализован с помощью функции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m_r(n):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'Число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составное'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'Число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составное'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'Число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 вероятно, простое'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(n)</w:t>
      </w:r>
    </w:p>
    <w:bookmarkEnd w:id="25"/>
    <w:bookmarkStart w:id="30" w:name="тестирование-реализованных-алгоритмов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Тестирование реализованных алгоритмов</w:t>
      </w:r>
    </w:p>
    <w:p>
      <w:pPr>
        <w:pStyle w:val="FirstParagraph"/>
      </w:pPr>
      <w:r>
        <w:t xml:space="preserve">Проведено тестирование реализованных алгоритмов. Видно, что в большинстве случаев ответы различных тестов совпадают, однако иногда делается ошибочное предположение о простоте (см. рис. 1).</w:t>
      </w:r>
    </w:p>
    <w:bookmarkStart w:id="29" w:name="fig:001"/>
    <w:p>
      <w:pPr>
        <w:pStyle w:val="CaptionedFigure"/>
      </w:pPr>
      <w:r>
        <w:drawing>
          <wp:inline>
            <wp:extent cx="2339340" cy="6065520"/>
            <wp:effectExtent b="0" l="0" r="0" t="0"/>
            <wp:docPr descr="Рис. 1: Тестирование вероятностных алгоритмов проверки на простоту" title="" id="27" name="Picture"/>
            <a:graphic>
              <a:graphicData uri="http://schemas.openxmlformats.org/drawingml/2006/picture">
                <pic:pic>
                  <pic:nvPicPr>
                    <pic:cNvPr descr="image/00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606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Тестирование вероятностных алгоритмов проверки на простоту</w:t>
      </w:r>
    </w:p>
    <w:bookmarkEnd w:id="29"/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изучила вероятностные алгоритмы проверки чисел на простоту. Реализовала тесты Ферма, Соловэя-Штрассена, Миллера-Рабина. Протестировала реализованные функции.</w:t>
      </w:r>
    </w:p>
    <w:p>
      <w:pPr>
        <w:pStyle w:val="BodyText"/>
      </w:pPr>
      <w:r>
        <w:t xml:space="preserve">Таким образом, задачи работы были выполнены, а цели достигнуты.</w:t>
      </w:r>
    </w:p>
    <w:bookmarkEnd w:id="32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3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 D., Korolkova A., Gevorkyan M. Информационная безопасность компьютерных сетей: лабораторные работы. 2015.</w:t>
      </w:r>
    </w:p>
    <w:bookmarkEnd w:id="33"/>
    <w:bookmarkStart w:id="34" w:name="ref-book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Самуйлов К.Е. и др. Сети и телекоммуникации : Учебник и практикум. Издательство Юрайт, 2019. С. 1–363.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Живцова Анна</dc:creator>
  <dc:language>ru-RU</dc:language>
  <cp:keywords/>
  <dcterms:created xsi:type="dcterms:W3CDTF">2024-10-10T08:01:38Z</dcterms:created>
  <dcterms:modified xsi:type="dcterms:W3CDTF">2024-10-10T08:01:38Z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