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Дисциплна: Научное программирование</w:t>
      </w:r>
    </w:p>
    <w:p>
      <w:pPr>
        <w:pStyle w:val="Author"/>
      </w:pPr>
      <w:r>
        <w:t xml:space="preserve">Живцова Анна, 1132249547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основы языка научного программирования Octave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Выполнить практические примеры для закрепления синтаксиса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Проверить эффективность векторных вычислений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Изучить типы переменных</w:t>
      </w:r>
    </w:p>
    <w:p>
      <w:pPr>
        <w:pStyle w:val="Compact"/>
        <w:numPr>
          <w:ilvl w:val="0"/>
          <w:numId w:val="1002"/>
        </w:numPr>
      </w:pPr>
      <w:r>
        <w:t xml:space="preserve">Выполнить примеры операций из линейной алгебры</w:t>
      </w:r>
    </w:p>
    <w:p>
      <w:pPr>
        <w:pStyle w:val="Compact"/>
        <w:numPr>
          <w:ilvl w:val="0"/>
          <w:numId w:val="1002"/>
        </w:numPr>
      </w:pPr>
      <w:r>
        <w:t xml:space="preserve">Освоить процедуру рисования графиков</w:t>
      </w:r>
    </w:p>
    <w:p>
      <w:pPr>
        <w:pStyle w:val="Compact"/>
        <w:numPr>
          <w:ilvl w:val="0"/>
          <w:numId w:val="1002"/>
        </w:numPr>
      </w:pPr>
      <w:r>
        <w:t xml:space="preserve">На примере сравнить скорость выполнения программ, записанных через цикл и векторные операции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Octave – язык научного программирования ысокого уровня. Задуманный изначально как программное пособие для проектирования химического реактора и названный в честь профессора химии Октава Левеншпиля, преподававшего автору математического пакета, Octave призван был заменить студентам Техасского Университета сложный в отладке Fortran. Версия 1.0 вышла в свет 17 февраля 1994 г.</w:t>
      </w:r>
    </w:p>
    <w:p>
      <w:pPr>
        <w:pStyle w:val="BodyText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 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Система написана на C++ с использованием стандартной библиотеки шаблонов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Типы данных и операции. Инициализировала переменные типа вектор-строка, вектор-столбец, матрица (см рис. 1). Выполнила арифметические операции (сложение, вычитание, умножение, возведение в степень), а также операции линейной алгебры: сложение векторов, умножения на скаляр, скалярное умножение, векторное умножение, матричное умножение, трансппонирование, сложениие матриц и обращение матриц. Нашла проекцию вектора на вектор, норму вектора, а также определитель, ранг и собственные значения матрицы (см рис. 2, 3).</w:t>
      </w:r>
    </w:p>
    <w:bookmarkStart w:id="26" w:name="fig:001"/>
    <w:p>
      <w:pPr>
        <w:pStyle w:val="CaptionedFigure"/>
      </w:pPr>
      <w:r>
        <w:drawing>
          <wp:inline>
            <wp:extent cx="2133600" cy="6652683"/>
            <wp:effectExtent b="0" l="0" r="0" t="0"/>
            <wp:docPr descr="Рис. 1: Типы данных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65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Типы данных</w:t>
      </w:r>
    </w:p>
    <w:bookmarkEnd w:id="26"/>
    <w:bookmarkStart w:id="30" w:name="fig:002"/>
    <w:p>
      <w:pPr>
        <w:pStyle w:val="CaptionedFigure"/>
      </w:pPr>
      <w:r>
        <w:drawing>
          <wp:inline>
            <wp:extent cx="2133600" cy="4097681"/>
            <wp:effectExtent b="0" l="0" r="0" t="0"/>
            <wp:docPr descr="Рис. 2: Операции линейной алгебры" title="" id="28" name="Picture"/>
            <a:graphic>
              <a:graphicData uri="http://schemas.openxmlformats.org/drawingml/2006/picture">
                <pic:pic>
                  <pic:nvPicPr>
                    <pic:cNvPr descr="image/0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9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Операции линейной алгебры</w:t>
      </w:r>
    </w:p>
    <w:bookmarkEnd w:id="30"/>
    <w:bookmarkStart w:id="34" w:name="fig:003"/>
    <w:p>
      <w:pPr>
        <w:pStyle w:val="CaptionedFigure"/>
      </w:pPr>
      <w:r>
        <w:drawing>
          <wp:inline>
            <wp:extent cx="2095500" cy="3520440"/>
            <wp:effectExtent b="0" l="0" r="0" t="0"/>
            <wp:docPr descr="Рис. 3: Операции линейной алгебры (2)" title="" id="32" name="Picture"/>
            <a:graphic>
              <a:graphicData uri="http://schemas.openxmlformats.org/drawingml/2006/picture">
                <pic:pic>
                  <pic:nvPicPr>
                    <pic:cNvPr descr="image/00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Операции линейной алгебры (2)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Рисование графиков. Освоила функцию рисования графиков и способы настройки внешнего вида графиков: подпись осей, совмещение нескольких графиков на одном рисунке, установка легенды, сетки, толщины линий, цвета линий, названия рисунка, диапазона осей (см рис. 4, 5, 6).</w:t>
      </w:r>
    </w:p>
    <w:bookmarkStart w:id="38" w:name="fig:004"/>
    <w:p>
      <w:pPr>
        <w:pStyle w:val="CaptionedFigure"/>
      </w:pPr>
      <w:r>
        <w:drawing>
          <wp:inline>
            <wp:extent cx="4800600" cy="2381459"/>
            <wp:effectExtent b="0" l="0" r="0" t="0"/>
            <wp:docPr descr="Рис. 4: Базовый вид графика" title="" id="36" name="Picture"/>
            <a:graphic>
              <a:graphicData uri="http://schemas.openxmlformats.org/drawingml/2006/picture">
                <pic:pic>
                  <pic:nvPicPr>
                    <pic:cNvPr descr="image/00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8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Базовый вид графика</w:t>
      </w:r>
    </w:p>
    <w:bookmarkEnd w:id="38"/>
    <w:bookmarkStart w:id="42" w:name="fig:005"/>
    <w:p>
      <w:pPr>
        <w:pStyle w:val="CaptionedFigure"/>
      </w:pPr>
      <w:r>
        <w:drawing>
          <wp:inline>
            <wp:extent cx="4800600" cy="1740063"/>
            <wp:effectExtent b="0" l="0" r="0" t="0"/>
            <wp:docPr descr="Рис. 5: График с настроенным внешним видом" title="" id="40" name="Picture"/>
            <a:graphic>
              <a:graphicData uri="http://schemas.openxmlformats.org/drawingml/2006/picture">
                <pic:pic>
                  <pic:nvPicPr>
                    <pic:cNvPr descr="image/00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с настроенным внешним видом</w:t>
      </w:r>
    </w:p>
    <w:bookmarkEnd w:id="42"/>
    <w:bookmarkStart w:id="46" w:name="fig:006"/>
    <w:p>
      <w:pPr>
        <w:pStyle w:val="CaptionedFigure"/>
      </w:pPr>
      <w:r>
        <w:drawing>
          <wp:inline>
            <wp:extent cx="4800600" cy="1363370"/>
            <wp:effectExtent b="0" l="0" r="0" t="0"/>
            <wp:docPr descr="Рис. 6: Два графика на одномрисунке" title="" id="44" name="Picture"/>
            <a:graphic>
              <a:graphicData uri="http://schemas.openxmlformats.org/drawingml/2006/picture">
                <pic:pic>
                  <pic:nvPicPr>
                    <pic:cNvPr descr="image/00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63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Два графика на одномрисунке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Поэлемеентные операции. Изучила синтаксис поэлементных операций (см. рис 7). Проверила скорость выполнения программы при использовании цикла и поэлементных операций в векторах (см. рис 8,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bookmarkStart w:id="50" w:name="fig:007"/>
    <w:p>
      <w:pPr>
        <w:pStyle w:val="CaptionedFigure"/>
      </w:pPr>
      <w:r>
        <w:drawing>
          <wp:inline>
            <wp:extent cx="4800600" cy="926202"/>
            <wp:effectExtent b="0" l="0" r="0" t="0"/>
            <wp:docPr descr="Рис. 7: Пример применения поэлементных операций" title="" id="48" name="Picture"/>
            <a:graphic>
              <a:graphicData uri="http://schemas.openxmlformats.org/drawingml/2006/picture">
                <pic:pic>
                  <pic:nvPicPr>
                    <pic:cNvPr descr="image/00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Пример применения поэлементных операций</w:t>
      </w:r>
    </w:p>
    <w:bookmarkEnd w:id="50"/>
    <w:bookmarkStart w:id="54" w:name="fig:008"/>
    <w:p>
      <w:pPr>
        <w:pStyle w:val="CaptionedFigure"/>
      </w:pPr>
      <w:r>
        <w:drawing>
          <wp:inline>
            <wp:extent cx="4800600" cy="1629615"/>
            <wp:effectExtent b="0" l="0" r="0" t="0"/>
            <wp:docPr descr="Рис. 8: Сравнение времени выполнения программы в зависимости от формы записи" title="" id="52" name="Picture"/>
            <a:graphic>
              <a:graphicData uri="http://schemas.openxmlformats.org/drawingml/2006/picture">
                <pic:pic>
                  <pic:nvPicPr>
                    <pic:cNvPr descr="image/00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Сравнение времени выполнения программы в зависимости от формы записи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познакомилась с языкомнаучного программирования Octave. Изучила некоторые типы данных, арифметические операции (сложение, вычитание, умножение, возведение в степень), а также операции линейной алгебры: сложение векторов, умножения на скаляр, скалярное умножение, векторное умножение, матричное умножение, трансппонирование, сложениие матриц и обращение матриц. Нашла проекцию вектора на вектор, норму вектора, а также определитель, ранг и собственные значения матрицы. Освоила процедуру рисования и настройки внешнего вида (цвета, легенды, подписи осей, названия рисунка, толщины линий, сетки, ммасштаба) графиков, а также на примере сравнила скорость выполнения программ, записанных через цикл и векторные операции. Поэлементные операции с векторами показывают лучшую производительность.</w:t>
      </w:r>
    </w:p>
    <w:bookmarkEnd w:id="56"/>
    <w:bookmarkStart w:id="5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58" w:name="refs"/>
    <w:bookmarkStart w:id="57" w:name="ref-mymanu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Octave. Wikipedia, 2024.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Живцова Анна, 1132249547</dc:creator>
  <dc:language>ru-RU</dc:language>
  <cp:keywords/>
  <dcterms:created xsi:type="dcterms:W3CDTF">2024-09-05T11:26:53Z</dcterms:created>
  <dcterms:modified xsi:type="dcterms:W3CDTF">2024-09-05T11:26:53Z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Дисциплна: Научное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