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805"/>
        <w:gridCol w:w="2805"/>
        <w:tblGridChange w:id="0">
          <w:tblGrid>
            <w:gridCol w:w="2055"/>
            <w:gridCol w:w="2055"/>
            <w:gridCol w:w="2805"/>
            <w:gridCol w:w="28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31st July,2025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#2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Investigation of a phishing email that delivered a password-protected spreadsheet containing a malicious payload. The file was downloaded and opened by an employee, triggering unauthorized executable creation.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 (for file hash analysis) 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Intrusion Detection System (alert source)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An employee at the financial services company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Opened a malicious spreadsheet file from a phishing email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August 3, 2025, between 1:11 p.m. and 1:20 p.m.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On the employee’s workstation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The email appeared legitimate and included the password to open the file, leading to execution of a malicious payload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SHA256 hash of malicious file: 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54e6ea47eb04634d3e87fd7787e2136ccfbcc80ade34f246a12cf93bab527f6b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VirusTotal verdict: Malicious (detected as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434343"/>
                <w:rtl w:val="0"/>
              </w:rPr>
              <w:t xml:space="preserve">Backdoor:Win32/Kryptik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