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</w:t>
      </w:r>
      <w:r>
        <w:t xml:space="preserve"> </w:t>
      </w:r>
      <w:r>
        <w:t xml:space="preserve">transformed</w:t>
      </w:r>
      <w:r>
        <w:t xml:space="preserve"> </w:t>
      </w:r>
      <w:r>
        <w:t xml:space="preserve">FluSight</w:t>
      </w:r>
      <w:r>
        <w:t xml:space="preserve"> </w:t>
      </w:r>
      <w:r>
        <w:t xml:space="preserve">Manuscript</w:t>
      </w:r>
      <w:r>
        <w:t xml:space="preserve"> </w:t>
      </w:r>
      <w:r>
        <w:t xml:space="preserve">2021-2023</w:t>
      </w:r>
    </w:p>
    <w:p>
      <w:pPr>
        <w:pStyle w:val="Author"/>
      </w:pPr>
      <w:r>
        <w:t xml:space="preserve">CDC</w:t>
      </w:r>
      <w:r>
        <w:t xml:space="preserve"> </w:t>
      </w:r>
      <w:r>
        <w:t xml:space="preserve">FluSight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2023-12-07</w:t>
      </w:r>
    </w:p>
    <w:bookmarkStart w:id="33" w:name="get-data"/>
    <w:p>
      <w:pPr>
        <w:pStyle w:val="Heading4"/>
      </w:pPr>
      <w:r>
        <w:t xml:space="preserve">Get data</w:t>
      </w:r>
    </w:p>
    <w:p>
      <w:pPr>
        <w:pStyle w:val="FirstParagraph"/>
      </w:pPr>
      <w:r>
        <w:t xml:space="preserve">All values were log transformed prior to scoring.</w:t>
      </w:r>
    </w:p>
    <w:bookmarkStart w:id="20" w:name="wis-calculations"/>
    <w:p>
      <w:pPr>
        <w:pStyle w:val="Heading5"/>
      </w:pPr>
      <w:r>
        <w:t xml:space="preserve">WIS Calculations</w:t>
      </w:r>
    </w:p>
    <w:bookmarkEnd w:id="20"/>
    <w:bookmarkStart w:id="21" w:name="season-inc-rankings-table-s3"/>
    <w:p>
      <w:pPr>
        <w:pStyle w:val="Heading5"/>
      </w:pPr>
      <w:r>
        <w:t xml:space="preserve">Season inc rankings: Table S3</w:t>
      </w:r>
    </w:p>
    <w:p>
      <w:pPr>
        <w:pStyle w:val="TableCaption"/>
      </w:pPr>
      <w:r>
        <w:t xml:space="preserve">Table S3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S3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Absolute 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Relative 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50% Coverage 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Coverage 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 of Forecasts Submitted</w:t>
            </w:r>
          </w:p>
        </w:tc>
      </w:tr>
      <w:tr>
        <w:tc>
          <w:tcPr>
            <w:gridSpan w:val="7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2021-2022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CMU-TimeSeries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PSI-DICE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UMass-trends_ensemble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SGroup-RandomForest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GT-FluFNP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CEID-Walk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Flusight-baseline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SigSci-TSENS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IEM_Health-FluProject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LUcompUncertLab-TEVA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LUcompUncertLab-VAR2_plusCOVID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MOBS-GLEAM_FLUH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UT_FluCast-Voltaire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UVAFluX-Ensemble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LUcompUncertLab-VAR2K_plusCOVID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SGroup-SIkJalpha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LosAlamos_NAU-CModel_Flu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GH-Flusight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SigSci-CREG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</w:tr>
      <w:tr>
        <w:tc>
          <w:tcPr>
            <w:gridSpan w:val="7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2022-2023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MOBS-GLEAM_FLUH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CMU-TimeSeries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MIGHTE-Nsemble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PSI-DICE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JHU_IDD-CovidSP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UMass-trends_ensemble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SGroup-RandomForest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GT-FluFNP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UNC_IDD-InfluPaint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Flusight-baseline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UGA_flucast-OKeeffe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UVAFluX-Ensemble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CEPH-Rtrend_fluH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VTSanghani-ExogModel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SigSci-TSENS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SigSci-CREG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ISU_NiemiLab-Flu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</w:t>
            </w:r>
          </w:p>
        </w:tc>
      </w:tr>
    </w:tbl>
    <w:bookmarkEnd w:id="21"/>
    <w:bookmarkStart w:id="22" w:name="forecasts-observed"/>
    <w:p>
      <w:pPr>
        <w:pStyle w:val="Heading5"/>
      </w:pPr>
      <w:r>
        <w:t xml:space="preserve">Forecasts &amp; Observed</w:t>
      </w:r>
    </w:p>
    <w:bookmarkEnd w:id="22"/>
    <w:bookmarkStart w:id="23" w:name="absolute-wis-by-model-figure-s6"/>
    <w:p>
      <w:pPr>
        <w:pStyle w:val="Heading5"/>
      </w:pPr>
      <w:r>
        <w:t xml:space="preserve">Absolute WIS by model: Figure S6</w:t>
      </w:r>
    </w:p>
    <w:bookmarkEnd w:id="23"/>
    <w:bookmarkStart w:id="24" w:name="coverage-figures"/>
    <w:p>
      <w:pPr>
        <w:pStyle w:val="Heading5"/>
      </w:pPr>
      <w:r>
        <w:t xml:space="preserve">Coverage Figures</w:t>
      </w:r>
    </w:p>
    <w:bookmarkEnd w:id="24"/>
    <w:bookmarkStart w:id="25" w:name="coverage-by-model"/>
    <w:p>
      <w:pPr>
        <w:pStyle w:val="Heading5"/>
      </w:pPr>
      <w:r>
        <w:t xml:space="preserve">95% Coverage by model</w:t>
      </w:r>
    </w:p>
    <w:bookmarkEnd w:id="25"/>
    <w:bookmarkStart w:id="26" w:name="coverage-by-model-1"/>
    <w:p>
      <w:pPr>
        <w:pStyle w:val="Heading5"/>
      </w:pPr>
      <w:r>
        <w:t xml:space="preserve">50% coverage by model</w:t>
      </w:r>
    </w:p>
    <w:bookmarkEnd w:id="26"/>
    <w:bookmarkStart w:id="27" w:name="coverage-tables-table-s4"/>
    <w:p>
      <w:pPr>
        <w:pStyle w:val="Heading5"/>
      </w:pPr>
      <w:r>
        <w:t xml:space="preserve">Coverage Tables: Table S4</w:t>
      </w:r>
    </w:p>
    <w:p>
      <w:pPr>
        <w:pStyle w:val="TableCaption"/>
      </w:pPr>
      <w:r>
        <w:t xml:space="preserve">Table S4</w:t>
      </w:r>
    </w:p>
    <w:tbl>
      <w:tblPr>
        <w:tblStyle w:val="Table"/>
        <w:tblW w:type="auto" w:w="0"/>
        <w:tblLook w:firstRow="1" w:lastRow="1" w:firstColumn="0" w:lastColumn="0" w:noHBand="0" w:noVBand="0" w:val="0020"/>
        <w:jc w:val="start"/>
        <w:tblCaption w:val="Table S4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Relative 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 WIS Below Baseline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Wk Coverage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Wk Coverage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Wk Coverage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Wk Coverage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 Cov abv 90 (1 Wk)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 Cov abv 90 (2 Wk)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 Cov abv 90 (3 Wk)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 Cov abv 90 (4 Wk)</w:t>
            </w:r>
          </w:p>
        </w:tc>
      </w:tr>
      <w:tr>
        <w:tc>
          <w:tcPr>
            <w:gridSpan w:val="11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2021-2022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CMU-TimeSeries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PSI-DICE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UMass-trends_ensemble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SGroup-RandomForest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GT-FluFNP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CEID-Walk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Flusight-baseline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SigSci-TSENS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IEM_Health-FluProject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LUcompUncertLab-TEVA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LUcompUncertLab-VAR2_plusCOVID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MOBS-GLEAM_FLUH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UT_FluCast-Voltaire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UVAFluX-Ensemble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LUcompUncertLab-VAR2K_plusCOVID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SGroup-SIkJalpha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LosAlamos_NAU-CModel_Flu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GH-Flusight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SigSci-CREG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>
            <w:gridSpan w:val="11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2022-2023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MOBS-GLEAM_FLUH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CMU-TimeSeries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MIGHTE-Nsemble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PSI-DICE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JHU_IDD-CovidSP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UMass-trends_ensemble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SGroup-RandomForest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GT-FluFNP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UNC_IDD-InfluPaint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Flusight-baseline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UGA_flucast-OKeeffe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UVAFluX-Ensemble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CEPH-Rtrend_fluH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VTSanghani-ExogModel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SigSci-TSENS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SigSci-CREG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ISU_NiemiLab-Flu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Table S4: % WIS Below Baseline shows the percent of WIS values for each model below the corresponding FluSight-Baseline WIS. The '% Cov abv 90' columns show the percent of weekly 95% coverage values that are greater than or equal to 90% for each model by horizon.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31" w:name="model-rank-plot-figure-s5"/>
    <w:p>
      <w:pPr>
        <w:pStyle w:val="Heading5"/>
      </w:pPr>
      <w:r>
        <w:t xml:space="preserve">Model rank plot: Figure S5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og_transformed_flusight_files/figure-docx/ABS%20WI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absolute-wis-by-week-table"/>
    <w:p>
      <w:pPr>
        <w:pStyle w:val="Heading5"/>
      </w:pPr>
      <w:r>
        <w:t xml:space="preserve">Absolute WIS by week table</w:t>
      </w:r>
    </w:p>
    <w:bookmarkEnd w:id="32"/>
    <w:bookmarkEnd w:id="33"/>
    <w:bookmarkStart w:id="38" w:name="model-ranking"/>
    <w:p>
      <w:pPr>
        <w:pStyle w:val="Heading2"/>
      </w:pPr>
      <w:r>
        <w:t xml:space="preserve">Model Ranking</w:t>
      </w:r>
    </w:p>
    <w:bookmarkStart w:id="37" w:name="relative-wis-by-location-figure-s7"/>
    <w:p>
      <w:pPr>
        <w:pStyle w:val="Heading5"/>
      </w:pPr>
      <w:r>
        <w:t xml:space="preserve">Relative WIS by Location: Figure S7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log_transformed_flusight_files/figure-docx/Relative%20WIS%20by%20location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transformed FluSight Manuscript 2021-2023</dc:title>
  <dc:creator>CDC FluSight Team</dc:creator>
  <cp:keywords/>
  <dcterms:created xsi:type="dcterms:W3CDTF">2023-12-07T21:26:48Z</dcterms:created>
  <dcterms:modified xsi:type="dcterms:W3CDTF">2023-12-07T21:26:48Z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date">
    <vt:lpwstr>2023-12-07</vt:lpwstr>
  </property>
  <property fmtid="{D5CDD505-2E9C-101B-9397-08002B2CF9AE}" pid="7" name="editor">
    <vt:lpwstr>source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essage">
    <vt:lpwstr>False</vt:lpwstr>
  </property>
  <property fmtid="{D5CDD505-2E9C-101B-9397-08002B2CF9AE}" pid="13" name="toc-title">
    <vt:lpwstr>Table of contents</vt:lpwstr>
  </property>
</Properties>
</file>