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A3420" w:rsidRDefault="00000000">
      <w:pPr>
        <w:pStyle w:val="Heading1"/>
        <w:jc w:val="center"/>
        <w:rPr>
          <w:rFonts w:ascii="Google Sans" w:eastAsia="Google Sans" w:hAnsi="Google Sans" w:cs="Google Sans"/>
        </w:rPr>
      </w:pPr>
      <w:bookmarkStart w:id="0" w:name="_goe9xzxx0fid" w:colFirst="0" w:colLast="0"/>
      <w:bookmarkEnd w:id="0"/>
      <w:r>
        <w:rPr>
          <w:rFonts w:ascii="Google Sans" w:eastAsia="Google Sans" w:hAnsi="Google Sans" w:cs="Google Sans"/>
        </w:rPr>
        <w:t>Compliance checklist</w:t>
      </w:r>
    </w:p>
    <w:p w14:paraId="00000002" w14:textId="77777777" w:rsidR="00BA3420"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To review compliance regulations and standards, read the </w:t>
      </w:r>
      <w:hyperlink r:id="rId4">
        <w:r>
          <w:rPr>
            <w:rFonts w:ascii="Google Sans" w:eastAsia="Google Sans" w:hAnsi="Google Sans" w:cs="Google Sans"/>
            <w:color w:val="1155CC"/>
            <w:sz w:val="24"/>
            <w:szCs w:val="24"/>
            <w:u w:val="single"/>
          </w:rPr>
          <w:t>controls, frameworks, and compliance</w:t>
        </w:r>
      </w:hyperlink>
      <w:r>
        <w:rPr>
          <w:rFonts w:ascii="Google Sans" w:eastAsia="Google Sans" w:hAnsi="Google Sans" w:cs="Google Sans"/>
          <w:sz w:val="24"/>
          <w:szCs w:val="24"/>
        </w:rPr>
        <w:t xml:space="preserve"> document.</w:t>
      </w:r>
    </w:p>
    <w:p w14:paraId="00000003" w14:textId="77777777" w:rsidR="00BA3420" w:rsidRDefault="00BA3420">
      <w:pPr>
        <w:rPr>
          <w:rFonts w:ascii="Google Sans" w:eastAsia="Google Sans" w:hAnsi="Google Sans" w:cs="Google Sans"/>
          <w:sz w:val="24"/>
          <w:szCs w:val="24"/>
        </w:rPr>
      </w:pPr>
    </w:p>
    <w:p w14:paraId="00000004" w14:textId="232CC282" w:rsidR="00BA3420"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_____ The Federal Energy Regulatory Commission - North American Electric </w:t>
      </w:r>
    </w:p>
    <w:p w14:paraId="00000005" w14:textId="77777777" w:rsidR="00BA3420"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            Reliability Corporation (FERC-NERC)</w:t>
      </w:r>
    </w:p>
    <w:p w14:paraId="00000006" w14:textId="77777777" w:rsidR="00BA3420" w:rsidRDefault="00BA3420">
      <w:pPr>
        <w:widowControl w:val="0"/>
        <w:spacing w:line="240" w:lineRule="auto"/>
        <w:rPr>
          <w:rFonts w:ascii="Google Sans" w:eastAsia="Google Sans" w:hAnsi="Google Sans" w:cs="Google Sans"/>
          <w:b/>
          <w:sz w:val="24"/>
          <w:szCs w:val="24"/>
        </w:rPr>
      </w:pPr>
    </w:p>
    <w:p w14:paraId="00000007" w14:textId="77777777" w:rsidR="00BA3420"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The FERC-NERC regulation applies to organizations that work with electricity or that are involved with the U.S. and North American power grid. Organizations have an obligation to prepare for, mitigate, and report any potential security incident that can negatively affect the power grid. Organizations are legally required to adhere to the Critical Infrastructure Protection Reliability Standards (CIP) defined by the FERC. </w:t>
      </w:r>
    </w:p>
    <w:p w14:paraId="00000008" w14:textId="77777777" w:rsidR="00BA3420"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Explanation:</w:t>
      </w:r>
      <w:r>
        <w:rPr>
          <w:rFonts w:ascii="Google Sans" w:eastAsia="Google Sans" w:hAnsi="Google Sans" w:cs="Google Sans"/>
          <w:sz w:val="24"/>
          <w:szCs w:val="24"/>
        </w:rPr>
        <w:t xml:space="preserve"> </w:t>
      </w:r>
    </w:p>
    <w:p w14:paraId="00000009" w14:textId="77777777" w:rsidR="00BA3420"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_____ General Data Protection Regulation (GDPR)</w:t>
      </w:r>
    </w:p>
    <w:p w14:paraId="0000000A" w14:textId="77777777" w:rsidR="00BA3420"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GDPR is a European Union (E.U.) general data regulation that protects the processing of E.U. citizens’ data and their right to privacy in and out of E.U. territory. Additionally, if a breach occurs and a E.U. citizen’s data is compromised, they must be informed within 72 hours of the incident.</w:t>
      </w:r>
    </w:p>
    <w:p w14:paraId="0000000B" w14:textId="77777777" w:rsidR="00BA3420"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p>
    <w:p w14:paraId="0000000C" w14:textId="77777777" w:rsidR="00BA3420"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_____ Payment Card Industry Data Security Standard (PCI DSS)</w:t>
      </w:r>
    </w:p>
    <w:p w14:paraId="0000000D" w14:textId="77777777" w:rsidR="00BA3420"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PCI DSS is an international security standard meant to ensure that organizations storing, accepting, processing, and transmitting credit card information do so in a secure environment. </w:t>
      </w:r>
    </w:p>
    <w:p w14:paraId="0000000E" w14:textId="77777777" w:rsidR="00BA3420"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p>
    <w:p w14:paraId="0000000F" w14:textId="77777777" w:rsidR="00BA3420"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lastRenderedPageBreak/>
        <w:t>_____ The Health Insurance Portability and Accountability Act (HIPAA)</w:t>
      </w:r>
    </w:p>
    <w:p w14:paraId="00000010" w14:textId="77777777" w:rsidR="00BA3420"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HIPAA is a federal law established in 1996 to protect U.S. patients' health information. This law prohibits patient information from being shared without their consent. Organizations have a legal obligation to inform patients of a breach. </w:t>
      </w:r>
    </w:p>
    <w:p w14:paraId="00000011" w14:textId="77777777" w:rsidR="00BA3420"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p>
    <w:p w14:paraId="00000012" w14:textId="77777777" w:rsidR="00BA3420"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_____ System and Organizations Controls (SOC type 1, SOC type 2)</w:t>
      </w:r>
    </w:p>
    <w:p w14:paraId="00000013" w14:textId="77777777" w:rsidR="00BA3420" w:rsidRDefault="00000000">
      <w:pPr>
        <w:spacing w:after="200" w:line="360" w:lineRule="auto"/>
        <w:ind w:left="720"/>
        <w:rPr>
          <w:rFonts w:ascii="Google Sans" w:eastAsia="Google Sans" w:hAnsi="Google Sans" w:cs="Google Sans"/>
          <w:b/>
          <w:sz w:val="24"/>
          <w:szCs w:val="24"/>
        </w:rPr>
      </w:pPr>
      <w:r>
        <w:rPr>
          <w:rFonts w:ascii="Google Sans" w:eastAsia="Google Sans" w:hAnsi="Google Sans" w:cs="Google Sans"/>
          <w:sz w:val="24"/>
          <w:szCs w:val="24"/>
        </w:rPr>
        <w:t>The SOC1 and SOC2 are a series of reports that focus on an organization's user access policies at different organizational levels. They are used to assess an organization’s financial compliance and levels of risk. They also cover confidentiality, privacy, integrity, availability, security, and overall data safety. Control failures in these areas can lead to fraud.</w:t>
      </w:r>
    </w:p>
    <w:p w14:paraId="00000014" w14:textId="77777777" w:rsidR="00BA3420"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p>
    <w:sectPr w:rsidR="00BA342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420"/>
    <w:rsid w:val="00513671"/>
    <w:rsid w:val="00BA3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D1317E"/>
  <w15:docId w15:val="{C105D4B2-3706-5E43-8718-6CAD8C06D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ursera.org/learn/foundations-of-cybersecurity/supplement/xu4pr/controls-frameworks-and-compl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329</Words>
  <Characters>1877</Characters>
  <Application>Microsoft Office Word</Application>
  <DocSecurity>0</DocSecurity>
  <Lines>15</Lines>
  <Paragraphs>4</Paragraphs>
  <ScaleCrop>false</ScaleCrop>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Annalea Layton</cp:lastModifiedBy>
  <cp:revision>2</cp:revision>
  <dcterms:created xsi:type="dcterms:W3CDTF">2023-05-16T15:35:00Z</dcterms:created>
  <dcterms:modified xsi:type="dcterms:W3CDTF">2023-05-16T15:35:00Z</dcterms:modified>
</cp:coreProperties>
</file>