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36C0EB">
      <w:pPr>
        <w:pStyle w:val="32"/>
      </w:pPr>
      <w:r>
        <w:t>附加题报告</w:t>
      </w:r>
    </w:p>
    <w:p w14:paraId="4DD5D610">
      <w:pPr>
        <w:rPr>
          <w:rFonts w:hint="default" w:ascii="PingFang SC Regular" w:hAnsi="PingFang SC Regular" w:eastAsia="PingFang SC Regular" w:cs="PingFang SC Regular"/>
          <w:highlight w:val="magenta"/>
          <w:lang w:val="en-US" w:eastAsia="zh-CN"/>
        </w:rPr>
      </w:pPr>
      <w:r>
        <w:rPr>
          <w:rFonts w:hint="eastAsia" w:ascii="PingFang SC Regular" w:hAnsi="PingFang SC Regular" w:eastAsia="PingFang SC Regular" w:cs="PingFang SC Regular"/>
          <w:highlight w:val="magenta"/>
          <w:lang w:val="en-US" w:eastAsia="zh-CN"/>
        </w:rPr>
        <w:t>只有标注部分是我写的理解喵orz</w:t>
      </w:r>
    </w:p>
    <w:p w14:paraId="7E82EF7E">
      <w:r>
        <w:rPr>
          <w:b w:val="0"/>
        </w:rPr>
        <w:t>本报告覆盖装甲板数字分类、处理器架构与推理硬件、自瞄误差分析，以及 FAST LIO2 开源项目评述。数字分类采用小型卷积网络，并通过相同模型和输入比较两种 CPU 推理方式。</w:t>
      </w:r>
    </w:p>
    <w:p w14:paraId="5401D41B">
      <w:r>
        <w:rPr>
          <w:b/>
        </w:rPr>
        <w:t xml:space="preserve">四道附加题均已完成。数字分类测试准确率为 99.06%，两端预测类别一致率为 100%；本机单张输入的 ONNX Runtime 中位延迟约为 PyTorch </w:t>
      </w:r>
      <w:bookmarkStart w:id="0" w:name="_GoBack"/>
      <w:bookmarkEnd w:id="0"/>
      <w:r>
        <w:rPr>
          <w:b/>
        </w:rPr>
        <w:t>的 1/4.09。该结论以本文的数据划分和测速条件为限。</w:t>
      </w:r>
    </w:p>
    <w:p w14:paraId="57D7452B">
      <w:pPr>
        <w:pStyle w:val="3"/>
      </w:pPr>
      <w:r>
        <w:t>附加题一 装甲板数字分类</w:t>
      </w:r>
    </w:p>
    <w:p w14:paraId="7F4AD2BE">
      <w:pPr>
        <w:pStyle w:val="4"/>
      </w:pPr>
      <w:r>
        <w:t>任务范围与数据</w:t>
      </w:r>
    </w:p>
    <w:p w14:paraId="1EFA5A1C">
      <w:r>
        <w:rPr>
          <w:b w:val="0"/>
        </w:rPr>
        <w:t>模型输入为已经裁剪并校正的数字区域，输出数字 1 至 5。分类器不负责从整幅图像中定位装甲板，也不包含背景拒识。数据选用公开的 Number Classifier for RoboMaster 数据集；其原始标签 6 至 9 表示不同机器人符号，不能解释为数字 6 至 9，因此本实验只保留正样本中的 1 至 5 类。[1]</w:t>
      </w:r>
    </w:p>
    <w:p w14:paraId="286855BA">
      <w:r>
        <w:rPr>
          <w:b w:val="0"/>
        </w:rPr>
        <w:t>先以 28×28 灰度像素的 SHA 256 去除完全重复样本，再按类别分层划分训练集、验证集和测试集，比例约为 70∶15∶15，随机种子为 20261020。训练集用于更新参数，验证集用于选取最佳轮次，测试集只用于最终评价。划分清单和数据压缩包哈希随实验记录保存。</w:t>
      </w:r>
    </w:p>
    <w:p w14:paraId="14CE512E">
      <w:r>
        <w:rPr>
          <w:b w:val="0"/>
        </w:rPr>
        <w:t>公开数据未提供可靠的采集序列标识，因此随机图像划分仍可能包含相邻帧近重复。即使测试准确率较高，也只能说明同数据集内表现，不能替代独立视频或新场景验证。</w:t>
      </w:r>
    </w:p>
    <w:p w14:paraId="39A1BE45">
      <w:pPr>
        <w:pStyle w:val="4"/>
      </w:pPr>
      <w:r>
        <w:t>网络结构</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47"/>
        <w:gridCol w:w="5669"/>
        <w:gridCol w:w="2721"/>
      </w:tblGrid>
      <w:tr w14:paraId="6C2857AA">
        <w:trPr>
          <w:cantSplit/>
          <w:tblHeader/>
          <w:jc w:val="center"/>
        </w:trPr>
        <w:tc>
          <w:tcPr>
            <w:tcW w:w="1247" w:type="dxa"/>
            <w:shd w:val="clear" w:color="auto" w:fill="E8EEF2"/>
            <w:tcMar>
              <w:top w:w="75" w:type="dxa"/>
              <w:left w:w="75" w:type="dxa"/>
              <w:bottom w:w="75" w:type="dxa"/>
              <w:right w:w="75" w:type="dxa"/>
            </w:tcMar>
            <w:vAlign w:val="center"/>
          </w:tcPr>
          <w:p w14:paraId="4316B722">
            <w:pPr>
              <w:spacing w:before="40" w:after="40" w:line="264" w:lineRule="auto"/>
            </w:pPr>
            <w:r>
              <w:rPr>
                <w:b/>
                <w:sz w:val="19"/>
              </w:rPr>
              <w:t>阶段</w:t>
            </w:r>
          </w:p>
        </w:tc>
        <w:tc>
          <w:tcPr>
            <w:tcW w:w="5669" w:type="dxa"/>
            <w:shd w:val="clear" w:color="auto" w:fill="E8EEF2"/>
            <w:tcMar>
              <w:top w:w="75" w:type="dxa"/>
              <w:left w:w="75" w:type="dxa"/>
              <w:bottom w:w="75" w:type="dxa"/>
              <w:right w:w="75" w:type="dxa"/>
            </w:tcMar>
            <w:vAlign w:val="center"/>
          </w:tcPr>
          <w:p w14:paraId="02A17E90">
            <w:pPr>
              <w:spacing w:before="40" w:after="40" w:line="264" w:lineRule="auto"/>
            </w:pPr>
            <w:r>
              <w:rPr>
                <w:b/>
                <w:sz w:val="19"/>
              </w:rPr>
              <w:t>操作</w:t>
            </w:r>
          </w:p>
        </w:tc>
        <w:tc>
          <w:tcPr>
            <w:tcW w:w="2721" w:type="dxa"/>
            <w:shd w:val="clear" w:color="auto" w:fill="E8EEF2"/>
            <w:tcMar>
              <w:top w:w="75" w:type="dxa"/>
              <w:left w:w="75" w:type="dxa"/>
              <w:bottom w:w="75" w:type="dxa"/>
              <w:right w:w="75" w:type="dxa"/>
            </w:tcMar>
            <w:vAlign w:val="center"/>
          </w:tcPr>
          <w:p w14:paraId="7D3844AF">
            <w:pPr>
              <w:spacing w:before="40" w:after="40" w:line="264" w:lineRule="auto"/>
            </w:pPr>
            <w:r>
              <w:rPr>
                <w:b/>
                <w:sz w:val="19"/>
              </w:rPr>
              <w:t>单张输出形状</w:t>
            </w:r>
          </w:p>
        </w:tc>
      </w:tr>
      <w:tr w14:paraId="490E69B7">
        <w:trPr>
          <w:cantSplit/>
          <w:jc w:val="center"/>
        </w:trPr>
        <w:tc>
          <w:tcPr>
            <w:tcW w:w="1247" w:type="dxa"/>
            <w:shd w:val="clear" w:color="auto" w:fill="FFFFFF"/>
            <w:tcMar>
              <w:top w:w="75" w:type="dxa"/>
              <w:left w:w="75" w:type="dxa"/>
              <w:bottom w:w="75" w:type="dxa"/>
              <w:right w:w="75" w:type="dxa"/>
            </w:tcMar>
            <w:vAlign w:val="center"/>
          </w:tcPr>
          <w:p w14:paraId="7AFA3983">
            <w:pPr>
              <w:spacing w:before="40" w:after="40" w:line="264" w:lineRule="auto"/>
            </w:pPr>
            <w:r>
              <w:rPr>
                <w:b w:val="0"/>
                <w:sz w:val="19"/>
              </w:rPr>
              <w:t>输入</w:t>
            </w:r>
          </w:p>
        </w:tc>
        <w:tc>
          <w:tcPr>
            <w:tcW w:w="5669" w:type="dxa"/>
            <w:shd w:val="clear" w:color="auto" w:fill="FFFFFF"/>
            <w:tcMar>
              <w:top w:w="75" w:type="dxa"/>
              <w:left w:w="75" w:type="dxa"/>
              <w:bottom w:w="75" w:type="dxa"/>
              <w:right w:w="75" w:type="dxa"/>
            </w:tcMar>
            <w:vAlign w:val="center"/>
          </w:tcPr>
          <w:p w14:paraId="0E92E959">
            <w:pPr>
              <w:spacing w:before="40" w:after="40" w:line="264" w:lineRule="auto"/>
            </w:pPr>
            <w:r>
              <w:rPr>
                <w:b w:val="0"/>
                <w:sz w:val="19"/>
              </w:rPr>
              <w:t>灰度并除以 255，FP32</w:t>
            </w:r>
          </w:p>
        </w:tc>
        <w:tc>
          <w:tcPr>
            <w:tcW w:w="2721" w:type="dxa"/>
            <w:shd w:val="clear" w:color="auto" w:fill="FFFFFF"/>
            <w:tcMar>
              <w:top w:w="75" w:type="dxa"/>
              <w:left w:w="75" w:type="dxa"/>
              <w:bottom w:w="75" w:type="dxa"/>
              <w:right w:w="75" w:type="dxa"/>
            </w:tcMar>
            <w:vAlign w:val="center"/>
          </w:tcPr>
          <w:p w14:paraId="0040CBD6">
            <w:pPr>
              <w:spacing w:before="40" w:after="40" w:line="264" w:lineRule="auto"/>
            </w:pPr>
            <w:r>
              <w:rPr>
                <w:b w:val="0"/>
                <w:sz w:val="19"/>
              </w:rPr>
              <w:t>1×28×28</w:t>
            </w:r>
          </w:p>
        </w:tc>
      </w:tr>
      <w:tr w14:paraId="751BF967">
        <w:trPr>
          <w:cantSplit/>
          <w:jc w:val="center"/>
        </w:trPr>
        <w:tc>
          <w:tcPr>
            <w:tcW w:w="1247" w:type="dxa"/>
            <w:shd w:val="clear" w:color="auto" w:fill="FFFFFF"/>
            <w:tcMar>
              <w:top w:w="75" w:type="dxa"/>
              <w:left w:w="75" w:type="dxa"/>
              <w:bottom w:w="75" w:type="dxa"/>
              <w:right w:w="75" w:type="dxa"/>
            </w:tcMar>
            <w:vAlign w:val="center"/>
          </w:tcPr>
          <w:p w14:paraId="68EF655E">
            <w:pPr>
              <w:spacing w:before="40" w:after="40" w:line="264" w:lineRule="auto"/>
            </w:pPr>
            <w:r>
              <w:rPr>
                <w:b w:val="0"/>
                <w:sz w:val="19"/>
              </w:rPr>
              <w:t>特征一</w:t>
            </w:r>
          </w:p>
        </w:tc>
        <w:tc>
          <w:tcPr>
            <w:tcW w:w="5669" w:type="dxa"/>
            <w:shd w:val="clear" w:color="auto" w:fill="FFFFFF"/>
            <w:tcMar>
              <w:top w:w="75" w:type="dxa"/>
              <w:left w:w="75" w:type="dxa"/>
              <w:bottom w:w="75" w:type="dxa"/>
              <w:right w:w="75" w:type="dxa"/>
            </w:tcMar>
            <w:vAlign w:val="center"/>
          </w:tcPr>
          <w:p w14:paraId="7147015F">
            <w:pPr>
              <w:spacing w:before="40" w:after="40" w:line="264" w:lineRule="auto"/>
            </w:pPr>
            <w:r>
              <w:rPr>
                <w:b w:val="0"/>
                <w:sz w:val="19"/>
              </w:rPr>
              <w:t>3×3 卷积 1→8，ReLU，2×2 最大池化</w:t>
            </w:r>
          </w:p>
        </w:tc>
        <w:tc>
          <w:tcPr>
            <w:tcW w:w="2721" w:type="dxa"/>
            <w:shd w:val="clear" w:color="auto" w:fill="FFFFFF"/>
            <w:tcMar>
              <w:top w:w="75" w:type="dxa"/>
              <w:left w:w="75" w:type="dxa"/>
              <w:bottom w:w="75" w:type="dxa"/>
              <w:right w:w="75" w:type="dxa"/>
            </w:tcMar>
            <w:vAlign w:val="center"/>
          </w:tcPr>
          <w:p w14:paraId="6ABDCCCD">
            <w:pPr>
              <w:spacing w:before="40" w:after="40" w:line="264" w:lineRule="auto"/>
            </w:pPr>
            <w:r>
              <w:rPr>
                <w:b w:val="0"/>
                <w:sz w:val="19"/>
              </w:rPr>
              <w:t>8×14×14</w:t>
            </w:r>
          </w:p>
        </w:tc>
      </w:tr>
      <w:tr w14:paraId="2DCDAE34">
        <w:trPr>
          <w:cantSplit/>
          <w:jc w:val="center"/>
        </w:trPr>
        <w:tc>
          <w:tcPr>
            <w:tcW w:w="1247" w:type="dxa"/>
            <w:shd w:val="clear" w:color="auto" w:fill="FFFFFF"/>
            <w:tcMar>
              <w:top w:w="75" w:type="dxa"/>
              <w:left w:w="75" w:type="dxa"/>
              <w:bottom w:w="75" w:type="dxa"/>
              <w:right w:w="75" w:type="dxa"/>
            </w:tcMar>
            <w:vAlign w:val="center"/>
          </w:tcPr>
          <w:p w14:paraId="4EFEED6F">
            <w:pPr>
              <w:spacing w:before="40" w:after="40" w:line="264" w:lineRule="auto"/>
            </w:pPr>
            <w:r>
              <w:rPr>
                <w:b w:val="0"/>
                <w:sz w:val="19"/>
              </w:rPr>
              <w:t>特征二</w:t>
            </w:r>
          </w:p>
        </w:tc>
        <w:tc>
          <w:tcPr>
            <w:tcW w:w="5669" w:type="dxa"/>
            <w:shd w:val="clear" w:color="auto" w:fill="FFFFFF"/>
            <w:tcMar>
              <w:top w:w="75" w:type="dxa"/>
              <w:left w:w="75" w:type="dxa"/>
              <w:bottom w:w="75" w:type="dxa"/>
              <w:right w:w="75" w:type="dxa"/>
            </w:tcMar>
            <w:vAlign w:val="center"/>
          </w:tcPr>
          <w:p w14:paraId="2C73A0CD">
            <w:pPr>
              <w:spacing w:before="40" w:after="40" w:line="264" w:lineRule="auto"/>
            </w:pPr>
            <w:r>
              <w:rPr>
                <w:b w:val="0"/>
                <w:sz w:val="19"/>
              </w:rPr>
              <w:t>3×3 卷积 8→16，ReLU，2×2 最大池化</w:t>
            </w:r>
          </w:p>
        </w:tc>
        <w:tc>
          <w:tcPr>
            <w:tcW w:w="2721" w:type="dxa"/>
            <w:shd w:val="clear" w:color="auto" w:fill="FFFFFF"/>
            <w:tcMar>
              <w:top w:w="75" w:type="dxa"/>
              <w:left w:w="75" w:type="dxa"/>
              <w:bottom w:w="75" w:type="dxa"/>
              <w:right w:w="75" w:type="dxa"/>
            </w:tcMar>
            <w:vAlign w:val="center"/>
          </w:tcPr>
          <w:p w14:paraId="0971A379">
            <w:pPr>
              <w:spacing w:before="40" w:after="40" w:line="264" w:lineRule="auto"/>
            </w:pPr>
            <w:r>
              <w:rPr>
                <w:b w:val="0"/>
                <w:sz w:val="19"/>
              </w:rPr>
              <w:t>16×7×7</w:t>
            </w:r>
          </w:p>
        </w:tc>
      </w:tr>
      <w:tr w14:paraId="23419AE3">
        <w:trPr>
          <w:cantSplit/>
          <w:jc w:val="center"/>
        </w:trPr>
        <w:tc>
          <w:tcPr>
            <w:tcW w:w="1247" w:type="dxa"/>
            <w:shd w:val="clear" w:color="auto" w:fill="FFFFFF"/>
            <w:tcMar>
              <w:top w:w="75" w:type="dxa"/>
              <w:left w:w="75" w:type="dxa"/>
              <w:bottom w:w="75" w:type="dxa"/>
              <w:right w:w="75" w:type="dxa"/>
            </w:tcMar>
            <w:vAlign w:val="center"/>
          </w:tcPr>
          <w:p w14:paraId="566D9FA6">
            <w:pPr>
              <w:spacing w:before="40" w:after="40" w:line="264" w:lineRule="auto"/>
            </w:pPr>
            <w:r>
              <w:rPr>
                <w:b w:val="0"/>
                <w:sz w:val="19"/>
              </w:rPr>
              <w:t>分类</w:t>
            </w:r>
          </w:p>
        </w:tc>
        <w:tc>
          <w:tcPr>
            <w:tcW w:w="5669" w:type="dxa"/>
            <w:shd w:val="clear" w:color="auto" w:fill="FFFFFF"/>
            <w:tcMar>
              <w:top w:w="75" w:type="dxa"/>
              <w:left w:w="75" w:type="dxa"/>
              <w:bottom w:w="75" w:type="dxa"/>
              <w:right w:w="75" w:type="dxa"/>
            </w:tcMar>
            <w:vAlign w:val="center"/>
          </w:tcPr>
          <w:p w14:paraId="16173981">
            <w:pPr>
              <w:spacing w:before="40" w:after="40" w:line="264" w:lineRule="auto"/>
            </w:pPr>
            <w:r>
              <w:rPr>
                <w:b w:val="0"/>
                <w:sz w:val="19"/>
              </w:rPr>
              <w:t>展平，784→32，ReLU，32→5</w:t>
            </w:r>
          </w:p>
        </w:tc>
        <w:tc>
          <w:tcPr>
            <w:tcW w:w="2721" w:type="dxa"/>
            <w:shd w:val="clear" w:color="auto" w:fill="FFFFFF"/>
            <w:tcMar>
              <w:top w:w="75" w:type="dxa"/>
              <w:left w:w="75" w:type="dxa"/>
              <w:bottom w:w="75" w:type="dxa"/>
              <w:right w:w="75" w:type="dxa"/>
            </w:tcMar>
            <w:vAlign w:val="center"/>
          </w:tcPr>
          <w:p w14:paraId="65BB0A35">
            <w:pPr>
              <w:spacing w:before="40" w:after="40" w:line="264" w:lineRule="auto"/>
            </w:pPr>
            <w:r>
              <w:rPr>
                <w:b w:val="0"/>
                <w:sz w:val="19"/>
              </w:rPr>
              <w:t>5 个 logits</w:t>
            </w:r>
          </w:p>
        </w:tc>
      </w:tr>
    </w:tbl>
    <w:p w14:paraId="5BC1E174">
      <w:pPr>
        <w:spacing w:before="120"/>
      </w:pPr>
      <w:r>
        <w:rPr>
          <w:b w:val="0"/>
        </w:rPr>
        <w:t>网络共 26 533 个可训练参数。两层卷积提取局部笔画及其组合，池化减小空间尺寸，全连接层生成类别分数。交叉熵直接接收 logits，训练前不额外执行 softmax。[2]</w:t>
      </w:r>
    </w:p>
    <w:p w14:paraId="785B71FB">
      <w:pPr>
        <w:pStyle w:val="3"/>
        <w:pageBreakBefore/>
      </w:pPr>
      <w:r>
        <w:t>附加题一 训练与验证</w:t>
      </w:r>
    </w:p>
    <w:p w14:paraId="71BA3469">
      <w:pPr>
        <w:pStyle w:val="4"/>
      </w:pPr>
      <w:r>
        <w:t>训练设置</w:t>
      </w:r>
    </w:p>
    <w:p w14:paraId="1FA64FE5">
      <w:r>
        <w:rPr>
          <w:b w:val="0"/>
        </w:rPr>
        <w:t>程序采用 Adam 优化器，学习率 0.001，weight decay 为 0.0001，batch size 为 128，共训练 15 轮。根据训练集类别数量对交叉熵加权。增强仅应用于训练集，包括 ±8° 旋转、±2 像素平移、0.8 至 1.2 倍对比度、轻微模糊和噪声；不使用可能改变数字含义的翻转。</w:t>
      </w:r>
    </w:p>
    <w:p w14:paraId="712B383D">
      <w:r>
        <w:rPr>
          <w:b w:val="0"/>
        </w:rPr>
        <w:t>每轮保存训练损失和验证准确率，以验证准确率最高的权重作为最终模型；准确率相同则选择验证损失更小者。最终报告整体准确率、各类召回率、宏平均 F1 和混淆矩阵，避免多数类掩盖少数类错误。</w:t>
      </w:r>
    </w:p>
    <w:p w14:paraId="0ABCD56B">
      <w:pPr>
        <w:pStyle w:val="4"/>
      </w:pPr>
      <w:r>
        <w:t>ONNX 导出与正确性检查</w:t>
      </w:r>
    </w:p>
    <w:p w14:paraId="20DC6A67">
      <w:r>
        <w:rPr>
          <w:b w:val="0"/>
        </w:rPr>
        <w:t>将最佳模型置于 CPU 和 eval 模式，导出 opset 17 的 ONNX 模型，输入名 image，输出名 logits，批量维度为动态值。ONNX 是计算图与参数的交换格式，ONNX Runtime 才是执行模型的推理引擎。[3][4]</w:t>
      </w:r>
    </w:p>
    <w:p w14:paraId="6E044DE5">
      <w:r>
        <w:rPr>
          <w:b w:val="0"/>
        </w:rPr>
        <w:t>先使用 onnx.checker 检查模型结构，再用同一测试输入对比 PyTorch 与 ONNX Runtime 的输出；相对容差设为 10⁻⁴，绝对容差设为 10⁻⁵，同时报告最大绝对差和预测类别一致率。结构检查通过不等于数值一致，更不等于识别正确。</w:t>
      </w:r>
    </w:p>
    <w:p w14:paraId="30B7E46B">
      <w:pPr>
        <w:pStyle w:val="4"/>
      </w:pPr>
      <w:r>
        <w:t>CPU 测速方法</w:t>
      </w:r>
    </w:p>
    <w:p w14:paraId="4BFD8F5B">
      <w:r>
        <w:rPr>
          <w:b w:val="0"/>
        </w:rPr>
        <w:t>两端均使用 FP32 和单线程，输入提前加载。PyTorch 使用 eager 模式及 inference_mode，ONNX Runtime 明确指定 CPUExecutionProvider，并启用图优化。分别测试 batch 1 和 batch 32，每端先预热 100 次，再进行 5 轮、每轮 1000 次计时；轮次间交换先后顺序。[5]</w:t>
      </w:r>
    </w:p>
    <w:p w14:paraId="17711516">
      <w:r>
        <w:rPr>
          <w:b w:val="0"/>
        </w:rPr>
        <w:t>使用 perf_counter_ns 测量一次 Python 推理接口调用至输出返回的时长，统计平均值、中位数和 P95，另保存每次调用的原始延迟。计时不含磁盘读取、图像预处理、模型加载和后处理。batch 1 是单张分类延迟的主要指标，batch 32 的吞吐率不能直接称为实时帧率。</w:t>
      </w:r>
    </w:p>
    <w:p w14:paraId="1320A7B4">
      <w:r>
        <w:rPr>
          <w:b w:val="0"/>
        </w:rPr>
        <w:t>实测环境：macOS 26.2，arm64，可见逻辑 CPU 数 8；Python 3.11.17，PyTorch 2.5.1，ONNX 1.17.0，ONNX Runtime 1.20.1。当前执行环境无法读取具体芯片型号，未作推断。训练使用 CPU 4 线程，测速固定 1 线程。</w:t>
      </w:r>
    </w:p>
    <w:p w14:paraId="16089FB1">
      <w:r>
        <w:rPr>
          <w:b w:val="0"/>
        </w:rPr>
        <w:t>15 轮训练及逐轮验证耗时 16.32 s，最佳模型来自第 15 轮。最终测试及导出使用这一组权重；未使用公开项目的预训练模型。</w:t>
      </w:r>
    </w:p>
    <w:p w14:paraId="27EC42BA">
      <w:pPr>
        <w:pStyle w:val="4"/>
      </w:pPr>
      <w:r>
        <w:t>结果解释的边界</w:t>
      </w:r>
    </w:p>
    <w:p w14:paraId="6778B64F">
      <w:r>
        <w:rPr>
          <w:b w:val="0"/>
        </w:rPr>
        <w:t>小模型的耗时可能主要受到函数调用、调度和线程开销影响。大 batch 吞吐更高也可能增加等待时间，不能把某个引擎的单线程结果与另一引擎的多线程结果混合比较。</w:t>
      </w:r>
    </w:p>
    <w:p w14:paraId="4543A04D">
      <w:pPr>
        <w:pStyle w:val="3"/>
        <w:pageBreakBefore/>
      </w:pPr>
      <w:r>
        <w:t>附加题一 实测分类结果</w:t>
      </w:r>
    </w:p>
    <w:p w14:paraId="6C5B590E">
      <w:r>
        <w:rPr>
          <w:b w:val="0"/>
        </w:rPr>
        <w:t>筛选数字 1 至 5 并去除 338 张完全重复样本后，共保留 6356 张图像：训练 4446 张、验证 951 张、测试 959 张。各集合的完全相同预处理图像不存在交集，近重复风险仍如前述。</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2041"/>
        <w:gridCol w:w="2041"/>
        <w:gridCol w:w="2041"/>
        <w:gridCol w:w="2041"/>
      </w:tblGrid>
      <w:tr w14:paraId="6059948E">
        <w:trPr>
          <w:cantSplit/>
          <w:tblHeader/>
          <w:jc w:val="center"/>
        </w:trPr>
        <w:tc>
          <w:tcPr>
            <w:tcW w:w="1474" w:type="dxa"/>
            <w:shd w:val="clear" w:color="auto" w:fill="E8EEF2"/>
            <w:tcMar>
              <w:top w:w="75" w:type="dxa"/>
              <w:left w:w="75" w:type="dxa"/>
              <w:bottom w:w="75" w:type="dxa"/>
              <w:right w:w="75" w:type="dxa"/>
            </w:tcMar>
            <w:vAlign w:val="center"/>
          </w:tcPr>
          <w:p w14:paraId="12A9E32E">
            <w:pPr>
              <w:spacing w:before="40" w:after="40" w:line="264" w:lineRule="auto"/>
            </w:pPr>
            <w:r>
              <w:rPr>
                <w:b/>
                <w:sz w:val="19"/>
              </w:rPr>
              <w:t>数字</w:t>
            </w:r>
          </w:p>
        </w:tc>
        <w:tc>
          <w:tcPr>
            <w:tcW w:w="2041" w:type="dxa"/>
            <w:shd w:val="clear" w:color="auto" w:fill="E8EEF2"/>
            <w:tcMar>
              <w:top w:w="75" w:type="dxa"/>
              <w:left w:w="75" w:type="dxa"/>
              <w:bottom w:w="75" w:type="dxa"/>
              <w:right w:w="75" w:type="dxa"/>
            </w:tcMar>
            <w:vAlign w:val="center"/>
          </w:tcPr>
          <w:p w14:paraId="43940C43">
            <w:pPr>
              <w:spacing w:before="40" w:after="40" w:line="264" w:lineRule="auto"/>
            </w:pPr>
            <w:r>
              <w:rPr>
                <w:b/>
                <w:sz w:val="19"/>
              </w:rPr>
              <w:t>训练</w:t>
            </w:r>
          </w:p>
        </w:tc>
        <w:tc>
          <w:tcPr>
            <w:tcW w:w="2041" w:type="dxa"/>
            <w:shd w:val="clear" w:color="auto" w:fill="E8EEF2"/>
            <w:tcMar>
              <w:top w:w="75" w:type="dxa"/>
              <w:left w:w="75" w:type="dxa"/>
              <w:bottom w:w="75" w:type="dxa"/>
              <w:right w:w="75" w:type="dxa"/>
            </w:tcMar>
            <w:vAlign w:val="center"/>
          </w:tcPr>
          <w:p w14:paraId="08A2733D">
            <w:pPr>
              <w:spacing w:before="40" w:after="40" w:line="264" w:lineRule="auto"/>
            </w:pPr>
            <w:r>
              <w:rPr>
                <w:b/>
                <w:sz w:val="19"/>
              </w:rPr>
              <w:t>验证</w:t>
            </w:r>
          </w:p>
        </w:tc>
        <w:tc>
          <w:tcPr>
            <w:tcW w:w="2041" w:type="dxa"/>
            <w:shd w:val="clear" w:color="auto" w:fill="E8EEF2"/>
            <w:tcMar>
              <w:top w:w="75" w:type="dxa"/>
              <w:left w:w="75" w:type="dxa"/>
              <w:bottom w:w="75" w:type="dxa"/>
              <w:right w:w="75" w:type="dxa"/>
            </w:tcMar>
            <w:vAlign w:val="center"/>
          </w:tcPr>
          <w:p w14:paraId="736B96B4">
            <w:pPr>
              <w:spacing w:before="40" w:after="40" w:line="264" w:lineRule="auto"/>
            </w:pPr>
            <w:r>
              <w:rPr>
                <w:b/>
                <w:sz w:val="19"/>
              </w:rPr>
              <w:t>测试</w:t>
            </w:r>
          </w:p>
        </w:tc>
        <w:tc>
          <w:tcPr>
            <w:tcW w:w="2041" w:type="dxa"/>
            <w:shd w:val="clear" w:color="auto" w:fill="E8EEF2"/>
            <w:tcMar>
              <w:top w:w="75" w:type="dxa"/>
              <w:left w:w="75" w:type="dxa"/>
              <w:bottom w:w="75" w:type="dxa"/>
              <w:right w:w="75" w:type="dxa"/>
            </w:tcMar>
            <w:vAlign w:val="center"/>
          </w:tcPr>
          <w:p w14:paraId="7BB5D62E">
            <w:pPr>
              <w:spacing w:before="40" w:after="40" w:line="264" w:lineRule="auto"/>
            </w:pPr>
            <w:r>
              <w:rPr>
                <w:b/>
                <w:sz w:val="19"/>
              </w:rPr>
              <w:t>测试召回率</w:t>
            </w:r>
          </w:p>
        </w:tc>
      </w:tr>
      <w:tr w14:paraId="61FB07D5">
        <w:trPr>
          <w:cantSplit/>
          <w:jc w:val="center"/>
        </w:trPr>
        <w:tc>
          <w:tcPr>
            <w:tcW w:w="1474" w:type="dxa"/>
            <w:shd w:val="clear" w:color="auto" w:fill="FFFFFF"/>
            <w:tcMar>
              <w:top w:w="75" w:type="dxa"/>
              <w:left w:w="75" w:type="dxa"/>
              <w:bottom w:w="75" w:type="dxa"/>
              <w:right w:w="75" w:type="dxa"/>
            </w:tcMar>
            <w:vAlign w:val="center"/>
          </w:tcPr>
          <w:p w14:paraId="78FFCFF2">
            <w:pPr>
              <w:spacing w:before="40" w:after="40" w:line="264" w:lineRule="auto"/>
              <w:jc w:val="center"/>
            </w:pPr>
            <w:r>
              <w:rPr>
                <w:b w:val="0"/>
                <w:sz w:val="19"/>
              </w:rPr>
              <w:t>1</w:t>
            </w:r>
          </w:p>
        </w:tc>
        <w:tc>
          <w:tcPr>
            <w:tcW w:w="2041" w:type="dxa"/>
            <w:shd w:val="clear" w:color="auto" w:fill="FFFFFF"/>
            <w:tcMar>
              <w:top w:w="75" w:type="dxa"/>
              <w:left w:w="75" w:type="dxa"/>
              <w:bottom w:w="75" w:type="dxa"/>
              <w:right w:w="75" w:type="dxa"/>
            </w:tcMar>
            <w:vAlign w:val="center"/>
          </w:tcPr>
          <w:p w14:paraId="637D41DD">
            <w:pPr>
              <w:spacing w:before="40" w:after="40" w:line="264" w:lineRule="auto"/>
              <w:jc w:val="center"/>
            </w:pPr>
            <w:r>
              <w:rPr>
                <w:b w:val="0"/>
                <w:sz w:val="19"/>
              </w:rPr>
              <w:t>753</w:t>
            </w:r>
          </w:p>
        </w:tc>
        <w:tc>
          <w:tcPr>
            <w:tcW w:w="2041" w:type="dxa"/>
            <w:shd w:val="clear" w:color="auto" w:fill="FFFFFF"/>
            <w:tcMar>
              <w:top w:w="75" w:type="dxa"/>
              <w:left w:w="75" w:type="dxa"/>
              <w:bottom w:w="75" w:type="dxa"/>
              <w:right w:w="75" w:type="dxa"/>
            </w:tcMar>
            <w:vAlign w:val="center"/>
          </w:tcPr>
          <w:p w14:paraId="720D02FB">
            <w:pPr>
              <w:spacing w:before="40" w:after="40" w:line="264" w:lineRule="auto"/>
              <w:jc w:val="center"/>
            </w:pPr>
            <w:r>
              <w:rPr>
                <w:b w:val="0"/>
                <w:sz w:val="19"/>
              </w:rPr>
              <w:t>161</w:t>
            </w:r>
          </w:p>
        </w:tc>
        <w:tc>
          <w:tcPr>
            <w:tcW w:w="2041" w:type="dxa"/>
            <w:shd w:val="clear" w:color="auto" w:fill="FFFFFF"/>
            <w:tcMar>
              <w:top w:w="75" w:type="dxa"/>
              <w:left w:w="75" w:type="dxa"/>
              <w:bottom w:w="75" w:type="dxa"/>
              <w:right w:w="75" w:type="dxa"/>
            </w:tcMar>
            <w:vAlign w:val="center"/>
          </w:tcPr>
          <w:p w14:paraId="5932D82E">
            <w:pPr>
              <w:spacing w:before="40" w:after="40" w:line="264" w:lineRule="auto"/>
              <w:jc w:val="center"/>
            </w:pPr>
            <w:r>
              <w:rPr>
                <w:b w:val="0"/>
                <w:sz w:val="19"/>
              </w:rPr>
              <w:t>163</w:t>
            </w:r>
          </w:p>
        </w:tc>
        <w:tc>
          <w:tcPr>
            <w:tcW w:w="2041" w:type="dxa"/>
            <w:shd w:val="clear" w:color="auto" w:fill="FFFFFF"/>
            <w:tcMar>
              <w:top w:w="75" w:type="dxa"/>
              <w:left w:w="75" w:type="dxa"/>
              <w:bottom w:w="75" w:type="dxa"/>
              <w:right w:w="75" w:type="dxa"/>
            </w:tcMar>
            <w:vAlign w:val="center"/>
          </w:tcPr>
          <w:p w14:paraId="1136F65C">
            <w:pPr>
              <w:spacing w:before="40" w:after="40" w:line="264" w:lineRule="auto"/>
              <w:jc w:val="center"/>
            </w:pPr>
            <w:r>
              <w:rPr>
                <w:b w:val="0"/>
                <w:sz w:val="19"/>
              </w:rPr>
              <w:t>97.55%</w:t>
            </w:r>
          </w:p>
        </w:tc>
      </w:tr>
      <w:tr w14:paraId="56202863">
        <w:trPr>
          <w:cantSplit/>
          <w:jc w:val="center"/>
        </w:trPr>
        <w:tc>
          <w:tcPr>
            <w:tcW w:w="1474" w:type="dxa"/>
            <w:shd w:val="clear" w:color="auto" w:fill="FFFFFF"/>
            <w:tcMar>
              <w:top w:w="75" w:type="dxa"/>
              <w:left w:w="75" w:type="dxa"/>
              <w:bottom w:w="75" w:type="dxa"/>
              <w:right w:w="75" w:type="dxa"/>
            </w:tcMar>
            <w:vAlign w:val="center"/>
          </w:tcPr>
          <w:p w14:paraId="014F7368">
            <w:pPr>
              <w:spacing w:before="40" w:after="40" w:line="264" w:lineRule="auto"/>
              <w:jc w:val="center"/>
            </w:pPr>
            <w:r>
              <w:rPr>
                <w:b w:val="0"/>
                <w:sz w:val="19"/>
              </w:rPr>
              <w:t>2</w:t>
            </w:r>
          </w:p>
        </w:tc>
        <w:tc>
          <w:tcPr>
            <w:tcW w:w="2041" w:type="dxa"/>
            <w:shd w:val="clear" w:color="auto" w:fill="FFFFFF"/>
            <w:tcMar>
              <w:top w:w="75" w:type="dxa"/>
              <w:left w:w="75" w:type="dxa"/>
              <w:bottom w:w="75" w:type="dxa"/>
              <w:right w:w="75" w:type="dxa"/>
            </w:tcMar>
            <w:vAlign w:val="center"/>
          </w:tcPr>
          <w:p w14:paraId="60580AFC">
            <w:pPr>
              <w:spacing w:before="40" w:after="40" w:line="264" w:lineRule="auto"/>
              <w:jc w:val="center"/>
            </w:pPr>
            <w:r>
              <w:rPr>
                <w:b w:val="0"/>
                <w:sz w:val="19"/>
              </w:rPr>
              <w:t>1259</w:t>
            </w:r>
          </w:p>
        </w:tc>
        <w:tc>
          <w:tcPr>
            <w:tcW w:w="2041" w:type="dxa"/>
            <w:shd w:val="clear" w:color="auto" w:fill="FFFFFF"/>
            <w:tcMar>
              <w:top w:w="75" w:type="dxa"/>
              <w:left w:w="75" w:type="dxa"/>
              <w:bottom w:w="75" w:type="dxa"/>
              <w:right w:w="75" w:type="dxa"/>
            </w:tcMar>
            <w:vAlign w:val="center"/>
          </w:tcPr>
          <w:p w14:paraId="38CAE534">
            <w:pPr>
              <w:spacing w:before="40" w:after="40" w:line="264" w:lineRule="auto"/>
              <w:jc w:val="center"/>
            </w:pPr>
            <w:r>
              <w:rPr>
                <w:b w:val="0"/>
                <w:sz w:val="19"/>
              </w:rPr>
              <w:t>269</w:t>
            </w:r>
          </w:p>
        </w:tc>
        <w:tc>
          <w:tcPr>
            <w:tcW w:w="2041" w:type="dxa"/>
            <w:shd w:val="clear" w:color="auto" w:fill="FFFFFF"/>
            <w:tcMar>
              <w:top w:w="75" w:type="dxa"/>
              <w:left w:w="75" w:type="dxa"/>
              <w:bottom w:w="75" w:type="dxa"/>
              <w:right w:w="75" w:type="dxa"/>
            </w:tcMar>
            <w:vAlign w:val="center"/>
          </w:tcPr>
          <w:p w14:paraId="33BDF5A8">
            <w:pPr>
              <w:spacing w:before="40" w:after="40" w:line="264" w:lineRule="auto"/>
              <w:jc w:val="center"/>
            </w:pPr>
            <w:r>
              <w:rPr>
                <w:b w:val="0"/>
                <w:sz w:val="19"/>
              </w:rPr>
              <w:t>271</w:t>
            </w:r>
          </w:p>
        </w:tc>
        <w:tc>
          <w:tcPr>
            <w:tcW w:w="2041" w:type="dxa"/>
            <w:shd w:val="clear" w:color="auto" w:fill="FFFFFF"/>
            <w:tcMar>
              <w:top w:w="75" w:type="dxa"/>
              <w:left w:w="75" w:type="dxa"/>
              <w:bottom w:w="75" w:type="dxa"/>
              <w:right w:w="75" w:type="dxa"/>
            </w:tcMar>
            <w:vAlign w:val="center"/>
          </w:tcPr>
          <w:p w14:paraId="3418A577">
            <w:pPr>
              <w:spacing w:before="40" w:after="40" w:line="264" w:lineRule="auto"/>
              <w:jc w:val="center"/>
            </w:pPr>
            <w:r>
              <w:rPr>
                <w:b w:val="0"/>
                <w:sz w:val="19"/>
              </w:rPr>
              <w:t>100.00%</w:t>
            </w:r>
          </w:p>
        </w:tc>
      </w:tr>
      <w:tr w14:paraId="4AB302BD">
        <w:trPr>
          <w:cantSplit/>
          <w:jc w:val="center"/>
        </w:trPr>
        <w:tc>
          <w:tcPr>
            <w:tcW w:w="1474" w:type="dxa"/>
            <w:shd w:val="clear" w:color="auto" w:fill="FFFFFF"/>
            <w:tcMar>
              <w:top w:w="75" w:type="dxa"/>
              <w:left w:w="75" w:type="dxa"/>
              <w:bottom w:w="75" w:type="dxa"/>
              <w:right w:w="75" w:type="dxa"/>
            </w:tcMar>
            <w:vAlign w:val="center"/>
          </w:tcPr>
          <w:p w14:paraId="4A15231F">
            <w:pPr>
              <w:spacing w:before="40" w:after="40" w:line="264" w:lineRule="auto"/>
              <w:jc w:val="center"/>
            </w:pPr>
            <w:r>
              <w:rPr>
                <w:b w:val="0"/>
                <w:sz w:val="19"/>
              </w:rPr>
              <w:t>3</w:t>
            </w:r>
          </w:p>
        </w:tc>
        <w:tc>
          <w:tcPr>
            <w:tcW w:w="2041" w:type="dxa"/>
            <w:shd w:val="clear" w:color="auto" w:fill="FFFFFF"/>
            <w:tcMar>
              <w:top w:w="75" w:type="dxa"/>
              <w:left w:w="75" w:type="dxa"/>
              <w:bottom w:w="75" w:type="dxa"/>
              <w:right w:w="75" w:type="dxa"/>
            </w:tcMar>
            <w:vAlign w:val="center"/>
          </w:tcPr>
          <w:p w14:paraId="24660CE8">
            <w:pPr>
              <w:spacing w:before="40" w:after="40" w:line="264" w:lineRule="auto"/>
              <w:jc w:val="center"/>
            </w:pPr>
            <w:r>
              <w:rPr>
                <w:b w:val="0"/>
                <w:sz w:val="19"/>
              </w:rPr>
              <w:t>1171</w:t>
            </w:r>
          </w:p>
        </w:tc>
        <w:tc>
          <w:tcPr>
            <w:tcW w:w="2041" w:type="dxa"/>
            <w:shd w:val="clear" w:color="auto" w:fill="FFFFFF"/>
            <w:tcMar>
              <w:top w:w="75" w:type="dxa"/>
              <w:left w:w="75" w:type="dxa"/>
              <w:bottom w:w="75" w:type="dxa"/>
              <w:right w:w="75" w:type="dxa"/>
            </w:tcMar>
            <w:vAlign w:val="center"/>
          </w:tcPr>
          <w:p w14:paraId="1A0F848D">
            <w:pPr>
              <w:spacing w:before="40" w:after="40" w:line="264" w:lineRule="auto"/>
              <w:jc w:val="center"/>
            </w:pPr>
            <w:r>
              <w:rPr>
                <w:b w:val="0"/>
                <w:sz w:val="19"/>
              </w:rPr>
              <w:t>251</w:t>
            </w:r>
          </w:p>
        </w:tc>
        <w:tc>
          <w:tcPr>
            <w:tcW w:w="2041" w:type="dxa"/>
            <w:shd w:val="clear" w:color="auto" w:fill="FFFFFF"/>
            <w:tcMar>
              <w:top w:w="75" w:type="dxa"/>
              <w:left w:w="75" w:type="dxa"/>
              <w:bottom w:w="75" w:type="dxa"/>
              <w:right w:w="75" w:type="dxa"/>
            </w:tcMar>
            <w:vAlign w:val="center"/>
          </w:tcPr>
          <w:p w14:paraId="77E9C490">
            <w:pPr>
              <w:spacing w:before="40" w:after="40" w:line="264" w:lineRule="auto"/>
              <w:jc w:val="center"/>
            </w:pPr>
            <w:r>
              <w:rPr>
                <w:b w:val="0"/>
                <w:sz w:val="19"/>
              </w:rPr>
              <w:t>252</w:t>
            </w:r>
          </w:p>
        </w:tc>
        <w:tc>
          <w:tcPr>
            <w:tcW w:w="2041" w:type="dxa"/>
            <w:shd w:val="clear" w:color="auto" w:fill="FFFFFF"/>
            <w:tcMar>
              <w:top w:w="75" w:type="dxa"/>
              <w:left w:w="75" w:type="dxa"/>
              <w:bottom w:w="75" w:type="dxa"/>
              <w:right w:w="75" w:type="dxa"/>
            </w:tcMar>
            <w:vAlign w:val="center"/>
          </w:tcPr>
          <w:p w14:paraId="57D1978D">
            <w:pPr>
              <w:spacing w:before="40" w:after="40" w:line="264" w:lineRule="auto"/>
              <w:jc w:val="center"/>
            </w:pPr>
            <w:r>
              <w:rPr>
                <w:b w:val="0"/>
                <w:sz w:val="19"/>
              </w:rPr>
              <w:t>98.41%</w:t>
            </w:r>
          </w:p>
        </w:tc>
      </w:tr>
      <w:tr w14:paraId="40D96042">
        <w:trPr>
          <w:cantSplit/>
          <w:jc w:val="center"/>
        </w:trPr>
        <w:tc>
          <w:tcPr>
            <w:tcW w:w="1474" w:type="dxa"/>
            <w:shd w:val="clear" w:color="auto" w:fill="FFFFFF"/>
            <w:tcMar>
              <w:top w:w="75" w:type="dxa"/>
              <w:left w:w="75" w:type="dxa"/>
              <w:bottom w:w="75" w:type="dxa"/>
              <w:right w:w="75" w:type="dxa"/>
            </w:tcMar>
            <w:vAlign w:val="center"/>
          </w:tcPr>
          <w:p w14:paraId="05F244EB">
            <w:pPr>
              <w:spacing w:before="40" w:after="40" w:line="264" w:lineRule="auto"/>
              <w:jc w:val="center"/>
            </w:pPr>
            <w:r>
              <w:rPr>
                <w:b w:val="0"/>
                <w:sz w:val="19"/>
              </w:rPr>
              <w:t>4</w:t>
            </w:r>
          </w:p>
        </w:tc>
        <w:tc>
          <w:tcPr>
            <w:tcW w:w="2041" w:type="dxa"/>
            <w:shd w:val="clear" w:color="auto" w:fill="FFFFFF"/>
            <w:tcMar>
              <w:top w:w="75" w:type="dxa"/>
              <w:left w:w="75" w:type="dxa"/>
              <w:bottom w:w="75" w:type="dxa"/>
              <w:right w:w="75" w:type="dxa"/>
            </w:tcMar>
            <w:vAlign w:val="center"/>
          </w:tcPr>
          <w:p w14:paraId="107C5CAC">
            <w:pPr>
              <w:spacing w:before="40" w:after="40" w:line="264" w:lineRule="auto"/>
              <w:jc w:val="center"/>
            </w:pPr>
            <w:r>
              <w:rPr>
                <w:b w:val="0"/>
                <w:sz w:val="19"/>
              </w:rPr>
              <w:t>1067</w:t>
            </w:r>
          </w:p>
        </w:tc>
        <w:tc>
          <w:tcPr>
            <w:tcW w:w="2041" w:type="dxa"/>
            <w:shd w:val="clear" w:color="auto" w:fill="FFFFFF"/>
            <w:tcMar>
              <w:top w:w="75" w:type="dxa"/>
              <w:left w:w="75" w:type="dxa"/>
              <w:bottom w:w="75" w:type="dxa"/>
              <w:right w:w="75" w:type="dxa"/>
            </w:tcMar>
            <w:vAlign w:val="center"/>
          </w:tcPr>
          <w:p w14:paraId="6AFEC34C">
            <w:pPr>
              <w:spacing w:before="40" w:after="40" w:line="264" w:lineRule="auto"/>
              <w:jc w:val="center"/>
            </w:pPr>
            <w:r>
              <w:rPr>
                <w:b w:val="0"/>
                <w:sz w:val="19"/>
              </w:rPr>
              <w:t>228</w:t>
            </w:r>
          </w:p>
        </w:tc>
        <w:tc>
          <w:tcPr>
            <w:tcW w:w="2041" w:type="dxa"/>
            <w:shd w:val="clear" w:color="auto" w:fill="FFFFFF"/>
            <w:tcMar>
              <w:top w:w="75" w:type="dxa"/>
              <w:left w:w="75" w:type="dxa"/>
              <w:bottom w:w="75" w:type="dxa"/>
              <w:right w:w="75" w:type="dxa"/>
            </w:tcMar>
            <w:vAlign w:val="center"/>
          </w:tcPr>
          <w:p w14:paraId="33A99EC2">
            <w:pPr>
              <w:spacing w:before="40" w:after="40" w:line="264" w:lineRule="auto"/>
              <w:jc w:val="center"/>
            </w:pPr>
            <w:r>
              <w:rPr>
                <w:b w:val="0"/>
                <w:sz w:val="19"/>
              </w:rPr>
              <w:t>230</w:t>
            </w:r>
          </w:p>
        </w:tc>
        <w:tc>
          <w:tcPr>
            <w:tcW w:w="2041" w:type="dxa"/>
            <w:shd w:val="clear" w:color="auto" w:fill="FFFFFF"/>
            <w:tcMar>
              <w:top w:w="75" w:type="dxa"/>
              <w:left w:w="75" w:type="dxa"/>
              <w:bottom w:w="75" w:type="dxa"/>
              <w:right w:w="75" w:type="dxa"/>
            </w:tcMar>
            <w:vAlign w:val="center"/>
          </w:tcPr>
          <w:p w14:paraId="0E19CB27">
            <w:pPr>
              <w:spacing w:before="40" w:after="40" w:line="264" w:lineRule="auto"/>
              <w:jc w:val="center"/>
            </w:pPr>
            <w:r>
              <w:rPr>
                <w:b w:val="0"/>
                <w:sz w:val="19"/>
              </w:rPr>
              <w:t>99.57%</w:t>
            </w:r>
          </w:p>
        </w:tc>
      </w:tr>
      <w:tr w14:paraId="6ACAF95C">
        <w:trPr>
          <w:cantSplit/>
          <w:jc w:val="center"/>
        </w:trPr>
        <w:tc>
          <w:tcPr>
            <w:tcW w:w="1474" w:type="dxa"/>
            <w:shd w:val="clear" w:color="auto" w:fill="FFFFFF"/>
            <w:tcMar>
              <w:top w:w="75" w:type="dxa"/>
              <w:left w:w="75" w:type="dxa"/>
              <w:bottom w:w="75" w:type="dxa"/>
              <w:right w:w="75" w:type="dxa"/>
            </w:tcMar>
            <w:vAlign w:val="center"/>
          </w:tcPr>
          <w:p w14:paraId="003804FD">
            <w:pPr>
              <w:spacing w:before="40" w:after="40" w:line="264" w:lineRule="auto"/>
              <w:jc w:val="center"/>
            </w:pPr>
            <w:r>
              <w:rPr>
                <w:b w:val="0"/>
                <w:sz w:val="19"/>
              </w:rPr>
              <w:t>5</w:t>
            </w:r>
          </w:p>
        </w:tc>
        <w:tc>
          <w:tcPr>
            <w:tcW w:w="2041" w:type="dxa"/>
            <w:shd w:val="clear" w:color="auto" w:fill="FFFFFF"/>
            <w:tcMar>
              <w:top w:w="75" w:type="dxa"/>
              <w:left w:w="75" w:type="dxa"/>
              <w:bottom w:w="75" w:type="dxa"/>
              <w:right w:w="75" w:type="dxa"/>
            </w:tcMar>
            <w:vAlign w:val="center"/>
          </w:tcPr>
          <w:p w14:paraId="4E7B7A90">
            <w:pPr>
              <w:spacing w:before="40" w:after="40" w:line="264" w:lineRule="auto"/>
              <w:jc w:val="center"/>
            </w:pPr>
            <w:r>
              <w:rPr>
                <w:b w:val="0"/>
                <w:sz w:val="19"/>
              </w:rPr>
              <w:t>196</w:t>
            </w:r>
          </w:p>
        </w:tc>
        <w:tc>
          <w:tcPr>
            <w:tcW w:w="2041" w:type="dxa"/>
            <w:shd w:val="clear" w:color="auto" w:fill="FFFFFF"/>
            <w:tcMar>
              <w:top w:w="75" w:type="dxa"/>
              <w:left w:w="75" w:type="dxa"/>
              <w:bottom w:w="75" w:type="dxa"/>
              <w:right w:w="75" w:type="dxa"/>
            </w:tcMar>
            <w:vAlign w:val="center"/>
          </w:tcPr>
          <w:p w14:paraId="593CD8CD">
            <w:pPr>
              <w:spacing w:before="40" w:after="40" w:line="264" w:lineRule="auto"/>
              <w:jc w:val="center"/>
            </w:pPr>
            <w:r>
              <w:rPr>
                <w:b w:val="0"/>
                <w:sz w:val="19"/>
              </w:rPr>
              <w:t>42</w:t>
            </w:r>
          </w:p>
        </w:tc>
        <w:tc>
          <w:tcPr>
            <w:tcW w:w="2041" w:type="dxa"/>
            <w:shd w:val="clear" w:color="auto" w:fill="FFFFFF"/>
            <w:tcMar>
              <w:top w:w="75" w:type="dxa"/>
              <w:left w:w="75" w:type="dxa"/>
              <w:bottom w:w="75" w:type="dxa"/>
              <w:right w:w="75" w:type="dxa"/>
            </w:tcMar>
            <w:vAlign w:val="center"/>
          </w:tcPr>
          <w:p w14:paraId="60F364FA">
            <w:pPr>
              <w:spacing w:before="40" w:after="40" w:line="264" w:lineRule="auto"/>
              <w:jc w:val="center"/>
            </w:pPr>
            <w:r>
              <w:rPr>
                <w:b w:val="0"/>
                <w:sz w:val="19"/>
              </w:rPr>
              <w:t>43</w:t>
            </w:r>
          </w:p>
        </w:tc>
        <w:tc>
          <w:tcPr>
            <w:tcW w:w="2041" w:type="dxa"/>
            <w:shd w:val="clear" w:color="auto" w:fill="FFFFFF"/>
            <w:tcMar>
              <w:top w:w="75" w:type="dxa"/>
              <w:left w:w="75" w:type="dxa"/>
              <w:bottom w:w="75" w:type="dxa"/>
              <w:right w:w="75" w:type="dxa"/>
            </w:tcMar>
            <w:vAlign w:val="center"/>
          </w:tcPr>
          <w:p w14:paraId="0C419C63">
            <w:pPr>
              <w:spacing w:before="40" w:after="40" w:line="264" w:lineRule="auto"/>
              <w:jc w:val="center"/>
            </w:pPr>
            <w:r>
              <w:rPr>
                <w:b w:val="0"/>
                <w:sz w:val="19"/>
              </w:rPr>
              <w:t>100.00%</w:t>
            </w:r>
          </w:p>
        </w:tc>
      </w:tr>
    </w:tbl>
    <w:p w14:paraId="1E1D8AE8">
      <w:pPr>
        <w:pStyle w:val="4"/>
      </w:pPr>
      <w:r>
        <w:t>整体分类与转换结果</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969"/>
        <w:gridCol w:w="5669"/>
      </w:tblGrid>
      <w:tr w14:paraId="59F07E28">
        <w:trPr>
          <w:cantSplit/>
          <w:tblHeader/>
          <w:jc w:val="center"/>
        </w:trPr>
        <w:tc>
          <w:tcPr>
            <w:tcW w:w="3969" w:type="dxa"/>
            <w:shd w:val="clear" w:color="auto" w:fill="E8EEF2"/>
            <w:tcMar>
              <w:top w:w="75" w:type="dxa"/>
              <w:left w:w="75" w:type="dxa"/>
              <w:bottom w:w="75" w:type="dxa"/>
              <w:right w:w="75" w:type="dxa"/>
            </w:tcMar>
            <w:vAlign w:val="center"/>
          </w:tcPr>
          <w:p w14:paraId="5C2E65F1">
            <w:pPr>
              <w:spacing w:before="40" w:after="40" w:line="264" w:lineRule="auto"/>
            </w:pPr>
            <w:r>
              <w:rPr>
                <w:b/>
                <w:sz w:val="19"/>
              </w:rPr>
              <w:t>指标</w:t>
            </w:r>
          </w:p>
        </w:tc>
        <w:tc>
          <w:tcPr>
            <w:tcW w:w="5669" w:type="dxa"/>
            <w:shd w:val="clear" w:color="auto" w:fill="E8EEF2"/>
            <w:tcMar>
              <w:top w:w="75" w:type="dxa"/>
              <w:left w:w="75" w:type="dxa"/>
              <w:bottom w:w="75" w:type="dxa"/>
              <w:right w:w="75" w:type="dxa"/>
            </w:tcMar>
            <w:vAlign w:val="center"/>
          </w:tcPr>
          <w:p w14:paraId="7A3886CE">
            <w:pPr>
              <w:spacing w:before="40" w:after="40" w:line="264" w:lineRule="auto"/>
            </w:pPr>
            <w:r>
              <w:rPr>
                <w:b/>
                <w:sz w:val="19"/>
              </w:rPr>
              <w:t>实测结果</w:t>
            </w:r>
          </w:p>
        </w:tc>
      </w:tr>
      <w:tr w14:paraId="1B5E2365">
        <w:trPr>
          <w:cantSplit/>
          <w:jc w:val="center"/>
        </w:trPr>
        <w:tc>
          <w:tcPr>
            <w:tcW w:w="3969" w:type="dxa"/>
            <w:shd w:val="clear" w:color="auto" w:fill="FFFFFF"/>
            <w:tcMar>
              <w:top w:w="75" w:type="dxa"/>
              <w:left w:w="75" w:type="dxa"/>
              <w:bottom w:w="75" w:type="dxa"/>
              <w:right w:w="75" w:type="dxa"/>
            </w:tcMar>
            <w:vAlign w:val="center"/>
          </w:tcPr>
          <w:p w14:paraId="12FBD527">
            <w:pPr>
              <w:spacing w:before="40" w:after="40" w:line="264" w:lineRule="auto"/>
            </w:pPr>
            <w:r>
              <w:rPr>
                <w:b w:val="0"/>
                <w:sz w:val="19"/>
              </w:rPr>
              <w:t>测试准确率</w:t>
            </w:r>
          </w:p>
        </w:tc>
        <w:tc>
          <w:tcPr>
            <w:tcW w:w="5669" w:type="dxa"/>
            <w:shd w:val="clear" w:color="auto" w:fill="FFFFFF"/>
            <w:tcMar>
              <w:top w:w="75" w:type="dxa"/>
              <w:left w:w="75" w:type="dxa"/>
              <w:bottom w:w="75" w:type="dxa"/>
              <w:right w:w="75" w:type="dxa"/>
            </w:tcMar>
            <w:vAlign w:val="center"/>
          </w:tcPr>
          <w:p w14:paraId="203B389A">
            <w:pPr>
              <w:spacing w:before="40" w:after="40" w:line="264" w:lineRule="auto"/>
            </w:pPr>
            <w:r>
              <w:rPr>
                <w:b w:val="0"/>
                <w:sz w:val="19"/>
              </w:rPr>
              <w:t>99.06%  即 950 / 959</w:t>
            </w:r>
          </w:p>
        </w:tc>
      </w:tr>
      <w:tr w14:paraId="18A07F39">
        <w:trPr>
          <w:cantSplit/>
          <w:jc w:val="center"/>
        </w:trPr>
        <w:tc>
          <w:tcPr>
            <w:tcW w:w="3969" w:type="dxa"/>
            <w:shd w:val="clear" w:color="auto" w:fill="FFFFFF"/>
            <w:tcMar>
              <w:top w:w="75" w:type="dxa"/>
              <w:left w:w="75" w:type="dxa"/>
              <w:bottom w:w="75" w:type="dxa"/>
              <w:right w:w="75" w:type="dxa"/>
            </w:tcMar>
            <w:vAlign w:val="center"/>
          </w:tcPr>
          <w:p w14:paraId="46F35625">
            <w:pPr>
              <w:spacing w:before="40" w:after="40" w:line="264" w:lineRule="auto"/>
            </w:pPr>
            <w:r>
              <w:rPr>
                <w:b w:val="0"/>
                <w:sz w:val="19"/>
              </w:rPr>
              <w:t>宏平均 F1</w:t>
            </w:r>
          </w:p>
        </w:tc>
        <w:tc>
          <w:tcPr>
            <w:tcW w:w="5669" w:type="dxa"/>
            <w:shd w:val="clear" w:color="auto" w:fill="FFFFFF"/>
            <w:tcMar>
              <w:top w:w="75" w:type="dxa"/>
              <w:left w:w="75" w:type="dxa"/>
              <w:bottom w:w="75" w:type="dxa"/>
              <w:right w:w="75" w:type="dxa"/>
            </w:tcMar>
            <w:vAlign w:val="center"/>
          </w:tcPr>
          <w:p w14:paraId="232F0473">
            <w:pPr>
              <w:spacing w:before="40" w:after="40" w:line="264" w:lineRule="auto"/>
              <w:jc w:val="center"/>
            </w:pPr>
            <w:r>
              <w:rPr>
                <w:b w:val="0"/>
                <w:sz w:val="19"/>
              </w:rPr>
              <w:t>0.9861</w:t>
            </w:r>
          </w:p>
        </w:tc>
      </w:tr>
      <w:tr w14:paraId="4DE18B4B">
        <w:trPr>
          <w:cantSplit/>
          <w:jc w:val="center"/>
        </w:trPr>
        <w:tc>
          <w:tcPr>
            <w:tcW w:w="3969" w:type="dxa"/>
            <w:shd w:val="clear" w:color="auto" w:fill="FFFFFF"/>
            <w:tcMar>
              <w:top w:w="75" w:type="dxa"/>
              <w:left w:w="75" w:type="dxa"/>
              <w:bottom w:w="75" w:type="dxa"/>
              <w:right w:w="75" w:type="dxa"/>
            </w:tcMar>
            <w:vAlign w:val="center"/>
          </w:tcPr>
          <w:p w14:paraId="467146C1">
            <w:pPr>
              <w:spacing w:before="40" w:after="40" w:line="264" w:lineRule="auto"/>
            </w:pPr>
            <w:r>
              <w:rPr>
                <w:b w:val="0"/>
                <w:sz w:val="19"/>
              </w:rPr>
              <w:t>最大 logits 绝对差</w:t>
            </w:r>
          </w:p>
        </w:tc>
        <w:tc>
          <w:tcPr>
            <w:tcW w:w="5669" w:type="dxa"/>
            <w:shd w:val="clear" w:color="auto" w:fill="FFFFFF"/>
            <w:tcMar>
              <w:top w:w="75" w:type="dxa"/>
              <w:left w:w="75" w:type="dxa"/>
              <w:bottom w:w="75" w:type="dxa"/>
              <w:right w:w="75" w:type="dxa"/>
            </w:tcMar>
            <w:vAlign w:val="center"/>
          </w:tcPr>
          <w:p w14:paraId="7D9AAAE5">
            <w:pPr>
              <w:spacing w:before="40" w:after="40" w:line="264" w:lineRule="auto"/>
            </w:pPr>
            <w:r>
              <w:rPr>
                <w:b w:val="0"/>
                <w:sz w:val="19"/>
              </w:rPr>
              <w:t>2.1e-05</w:t>
            </w:r>
          </w:p>
        </w:tc>
      </w:tr>
      <w:tr w14:paraId="3817A7AB">
        <w:trPr>
          <w:cantSplit/>
          <w:jc w:val="center"/>
        </w:trPr>
        <w:tc>
          <w:tcPr>
            <w:tcW w:w="3969" w:type="dxa"/>
            <w:shd w:val="clear" w:color="auto" w:fill="FFFFFF"/>
            <w:tcMar>
              <w:top w:w="75" w:type="dxa"/>
              <w:left w:w="75" w:type="dxa"/>
              <w:bottom w:w="75" w:type="dxa"/>
              <w:right w:w="75" w:type="dxa"/>
            </w:tcMar>
            <w:vAlign w:val="center"/>
          </w:tcPr>
          <w:p w14:paraId="4AD70744">
            <w:pPr>
              <w:spacing w:before="40" w:after="40" w:line="264" w:lineRule="auto"/>
            </w:pPr>
            <w:r>
              <w:rPr>
                <w:b w:val="0"/>
                <w:sz w:val="19"/>
              </w:rPr>
              <w:t>两端类别一致率</w:t>
            </w:r>
          </w:p>
        </w:tc>
        <w:tc>
          <w:tcPr>
            <w:tcW w:w="5669" w:type="dxa"/>
            <w:shd w:val="clear" w:color="auto" w:fill="FFFFFF"/>
            <w:tcMar>
              <w:top w:w="75" w:type="dxa"/>
              <w:left w:w="75" w:type="dxa"/>
              <w:bottom w:w="75" w:type="dxa"/>
              <w:right w:w="75" w:type="dxa"/>
            </w:tcMar>
            <w:vAlign w:val="center"/>
          </w:tcPr>
          <w:p w14:paraId="1FF4F434">
            <w:pPr>
              <w:spacing w:before="40" w:after="40" w:line="264" w:lineRule="auto"/>
            </w:pPr>
            <w:r>
              <w:rPr>
                <w:b w:val="0"/>
                <w:sz w:val="19"/>
              </w:rPr>
              <w:t>100.00%  即 959 / 959</w:t>
            </w:r>
          </w:p>
        </w:tc>
      </w:tr>
    </w:tbl>
    <w:p w14:paraId="6785919C">
      <w:pPr>
        <w:spacing w:before="120" w:after="120" w:line="240" w:lineRule="auto"/>
        <w:jc w:val="center"/>
      </w:pPr>
      <w:r>
        <w:drawing>
          <wp:inline distT="0" distB="0" distL="114300" distR="114300">
            <wp:extent cx="3131820" cy="2491105"/>
            <wp:effectExtent l="0" t="0" r="17780" b="234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131999" cy="2491363"/>
                    </a:xfrm>
                    <a:prstGeom prst="rect">
                      <a:avLst/>
                    </a:prstGeom>
                  </pic:spPr>
                </pic:pic>
              </a:graphicData>
            </a:graphic>
          </wp:inline>
        </w:drawing>
      </w:r>
    </w:p>
    <w:p w14:paraId="7D8A1AF9">
      <w:r>
        <w:rPr>
          <w:b w:val="0"/>
        </w:rPr>
        <w:t>图 1 测试集混淆矩阵。纵轴为真实数字，横轴为预测数字；非对角线合计 9 个错误。</w:t>
      </w:r>
    </w:p>
    <w:p w14:paraId="4BA67D7A">
      <w:r>
        <w:rPr>
          <w:b w:val="0"/>
        </w:rPr>
        <w:t>数字 5 的测试样本只有 43 张，100% 召回率不能证明该类别在所有场景都可靠。测试划分只用于最终评价；更严格的泛化结论仍需独立采集的视频。</w:t>
      </w:r>
    </w:p>
    <w:p w14:paraId="3CD55AE1">
      <w:pPr>
        <w:pStyle w:val="3"/>
        <w:pageBreakBefore/>
      </w:pPr>
      <w:r>
        <w:t>附加题一 CPU 测速与复现</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50"/>
        <w:gridCol w:w="2494"/>
        <w:gridCol w:w="2098"/>
        <w:gridCol w:w="2098"/>
        <w:gridCol w:w="2098"/>
      </w:tblGrid>
      <w:tr w14:paraId="5BF861A2">
        <w:trPr>
          <w:cantSplit/>
          <w:tblHeader/>
          <w:jc w:val="center"/>
        </w:trPr>
        <w:tc>
          <w:tcPr>
            <w:tcW w:w="850" w:type="dxa"/>
            <w:shd w:val="clear" w:color="auto" w:fill="E8EEF2"/>
            <w:tcMar>
              <w:top w:w="75" w:type="dxa"/>
              <w:left w:w="75" w:type="dxa"/>
              <w:bottom w:w="75" w:type="dxa"/>
              <w:right w:w="75" w:type="dxa"/>
            </w:tcMar>
            <w:vAlign w:val="center"/>
          </w:tcPr>
          <w:p w14:paraId="40E5A4D2">
            <w:pPr>
              <w:spacing w:before="40" w:after="40" w:line="264" w:lineRule="auto"/>
            </w:pPr>
            <w:r>
              <w:rPr>
                <w:b/>
                <w:sz w:val="19"/>
              </w:rPr>
              <w:t>批量</w:t>
            </w:r>
          </w:p>
        </w:tc>
        <w:tc>
          <w:tcPr>
            <w:tcW w:w="2494" w:type="dxa"/>
            <w:shd w:val="clear" w:color="auto" w:fill="E8EEF2"/>
            <w:tcMar>
              <w:top w:w="75" w:type="dxa"/>
              <w:left w:w="75" w:type="dxa"/>
              <w:bottom w:w="75" w:type="dxa"/>
              <w:right w:w="75" w:type="dxa"/>
            </w:tcMar>
            <w:vAlign w:val="center"/>
          </w:tcPr>
          <w:p w14:paraId="0427B55C">
            <w:pPr>
              <w:spacing w:before="40" w:after="40" w:line="264" w:lineRule="auto"/>
            </w:pPr>
            <w:r>
              <w:rPr>
                <w:b/>
                <w:sz w:val="19"/>
              </w:rPr>
              <w:t>引擎</w:t>
            </w:r>
          </w:p>
        </w:tc>
        <w:tc>
          <w:tcPr>
            <w:tcW w:w="2098" w:type="dxa"/>
            <w:shd w:val="clear" w:color="auto" w:fill="E8EEF2"/>
            <w:tcMar>
              <w:top w:w="75" w:type="dxa"/>
              <w:left w:w="75" w:type="dxa"/>
              <w:bottom w:w="75" w:type="dxa"/>
              <w:right w:w="75" w:type="dxa"/>
            </w:tcMar>
            <w:vAlign w:val="center"/>
          </w:tcPr>
          <w:p w14:paraId="59FB13ED">
            <w:pPr>
              <w:spacing w:before="40" w:after="40" w:line="264" w:lineRule="auto"/>
            </w:pPr>
            <w:r>
              <w:rPr>
                <w:b/>
                <w:sz w:val="19"/>
              </w:rPr>
              <w:t>平均 ms</w:t>
            </w:r>
          </w:p>
        </w:tc>
        <w:tc>
          <w:tcPr>
            <w:tcW w:w="2098" w:type="dxa"/>
            <w:shd w:val="clear" w:color="auto" w:fill="E8EEF2"/>
            <w:tcMar>
              <w:top w:w="75" w:type="dxa"/>
              <w:left w:w="75" w:type="dxa"/>
              <w:bottom w:w="75" w:type="dxa"/>
              <w:right w:w="75" w:type="dxa"/>
            </w:tcMar>
            <w:vAlign w:val="center"/>
          </w:tcPr>
          <w:p w14:paraId="0160E631">
            <w:pPr>
              <w:spacing w:before="40" w:after="40" w:line="264" w:lineRule="auto"/>
            </w:pPr>
            <w:r>
              <w:rPr>
                <w:b/>
                <w:sz w:val="19"/>
              </w:rPr>
              <w:t>中位 ms</w:t>
            </w:r>
          </w:p>
        </w:tc>
        <w:tc>
          <w:tcPr>
            <w:tcW w:w="2098" w:type="dxa"/>
            <w:shd w:val="clear" w:color="auto" w:fill="E8EEF2"/>
            <w:tcMar>
              <w:top w:w="75" w:type="dxa"/>
              <w:left w:w="75" w:type="dxa"/>
              <w:bottom w:w="75" w:type="dxa"/>
              <w:right w:w="75" w:type="dxa"/>
            </w:tcMar>
            <w:vAlign w:val="center"/>
          </w:tcPr>
          <w:p w14:paraId="449EC851">
            <w:pPr>
              <w:spacing w:before="40" w:after="40" w:line="264" w:lineRule="auto"/>
            </w:pPr>
            <w:r>
              <w:rPr>
                <w:b/>
                <w:sz w:val="19"/>
              </w:rPr>
              <w:t>P95 ms</w:t>
            </w:r>
          </w:p>
        </w:tc>
      </w:tr>
      <w:tr w14:paraId="6D9416EF">
        <w:trPr>
          <w:cantSplit/>
          <w:jc w:val="center"/>
        </w:trPr>
        <w:tc>
          <w:tcPr>
            <w:tcW w:w="850" w:type="dxa"/>
            <w:shd w:val="clear" w:color="auto" w:fill="FFFFFF"/>
            <w:tcMar>
              <w:top w:w="75" w:type="dxa"/>
              <w:left w:w="75" w:type="dxa"/>
              <w:bottom w:w="75" w:type="dxa"/>
              <w:right w:w="75" w:type="dxa"/>
            </w:tcMar>
            <w:vAlign w:val="center"/>
          </w:tcPr>
          <w:p w14:paraId="62CE17D7">
            <w:pPr>
              <w:spacing w:before="40" w:after="40" w:line="264" w:lineRule="auto"/>
              <w:jc w:val="center"/>
            </w:pPr>
            <w:r>
              <w:rPr>
                <w:b w:val="0"/>
                <w:sz w:val="19"/>
              </w:rPr>
              <w:t>1</w:t>
            </w:r>
          </w:p>
        </w:tc>
        <w:tc>
          <w:tcPr>
            <w:tcW w:w="2494" w:type="dxa"/>
            <w:shd w:val="clear" w:color="auto" w:fill="FFFFFF"/>
            <w:tcMar>
              <w:top w:w="75" w:type="dxa"/>
              <w:left w:w="75" w:type="dxa"/>
              <w:bottom w:w="75" w:type="dxa"/>
              <w:right w:w="75" w:type="dxa"/>
            </w:tcMar>
            <w:vAlign w:val="center"/>
          </w:tcPr>
          <w:p w14:paraId="297D0200">
            <w:pPr>
              <w:spacing w:before="40" w:after="40" w:line="264" w:lineRule="auto"/>
            </w:pPr>
            <w:r>
              <w:rPr>
                <w:b w:val="0"/>
                <w:sz w:val="19"/>
              </w:rPr>
              <w:t>pytorch</w:t>
            </w:r>
          </w:p>
        </w:tc>
        <w:tc>
          <w:tcPr>
            <w:tcW w:w="2098" w:type="dxa"/>
            <w:shd w:val="clear" w:color="auto" w:fill="FFFFFF"/>
            <w:tcMar>
              <w:top w:w="75" w:type="dxa"/>
              <w:left w:w="75" w:type="dxa"/>
              <w:bottom w:w="75" w:type="dxa"/>
              <w:right w:w="75" w:type="dxa"/>
            </w:tcMar>
            <w:vAlign w:val="center"/>
          </w:tcPr>
          <w:p w14:paraId="13609C4D">
            <w:pPr>
              <w:spacing w:before="40" w:after="40" w:line="264" w:lineRule="auto"/>
              <w:jc w:val="center"/>
            </w:pPr>
            <w:r>
              <w:rPr>
                <w:b w:val="0"/>
                <w:sz w:val="19"/>
              </w:rPr>
              <w:t>0.1055</w:t>
            </w:r>
          </w:p>
        </w:tc>
        <w:tc>
          <w:tcPr>
            <w:tcW w:w="2098" w:type="dxa"/>
            <w:shd w:val="clear" w:color="auto" w:fill="FFFFFF"/>
            <w:tcMar>
              <w:top w:w="75" w:type="dxa"/>
              <w:left w:w="75" w:type="dxa"/>
              <w:bottom w:w="75" w:type="dxa"/>
              <w:right w:w="75" w:type="dxa"/>
            </w:tcMar>
            <w:vAlign w:val="center"/>
          </w:tcPr>
          <w:p w14:paraId="18A06E5B">
            <w:pPr>
              <w:spacing w:before="40" w:after="40" w:line="264" w:lineRule="auto"/>
              <w:jc w:val="center"/>
            </w:pPr>
            <w:r>
              <w:rPr>
                <w:b w:val="0"/>
                <w:sz w:val="19"/>
              </w:rPr>
              <w:t>0.1005</w:t>
            </w:r>
          </w:p>
        </w:tc>
        <w:tc>
          <w:tcPr>
            <w:tcW w:w="2098" w:type="dxa"/>
            <w:shd w:val="clear" w:color="auto" w:fill="FFFFFF"/>
            <w:tcMar>
              <w:top w:w="75" w:type="dxa"/>
              <w:left w:w="75" w:type="dxa"/>
              <w:bottom w:w="75" w:type="dxa"/>
              <w:right w:w="75" w:type="dxa"/>
            </w:tcMar>
            <w:vAlign w:val="center"/>
          </w:tcPr>
          <w:p w14:paraId="766732BF">
            <w:pPr>
              <w:spacing w:before="40" w:after="40" w:line="264" w:lineRule="auto"/>
              <w:jc w:val="center"/>
            </w:pPr>
            <w:r>
              <w:rPr>
                <w:b w:val="0"/>
                <w:sz w:val="19"/>
              </w:rPr>
              <w:t>0.1181</w:t>
            </w:r>
          </w:p>
        </w:tc>
      </w:tr>
      <w:tr w14:paraId="2AC904C8">
        <w:trPr>
          <w:cantSplit/>
          <w:jc w:val="center"/>
        </w:trPr>
        <w:tc>
          <w:tcPr>
            <w:tcW w:w="850" w:type="dxa"/>
            <w:shd w:val="clear" w:color="auto" w:fill="FFFFFF"/>
            <w:tcMar>
              <w:top w:w="75" w:type="dxa"/>
              <w:left w:w="75" w:type="dxa"/>
              <w:bottom w:w="75" w:type="dxa"/>
              <w:right w:w="75" w:type="dxa"/>
            </w:tcMar>
            <w:vAlign w:val="center"/>
          </w:tcPr>
          <w:p w14:paraId="4D240765">
            <w:pPr>
              <w:spacing w:before="40" w:after="40" w:line="264" w:lineRule="auto"/>
              <w:jc w:val="center"/>
            </w:pPr>
            <w:r>
              <w:rPr>
                <w:b w:val="0"/>
                <w:sz w:val="19"/>
              </w:rPr>
              <w:t>1</w:t>
            </w:r>
          </w:p>
        </w:tc>
        <w:tc>
          <w:tcPr>
            <w:tcW w:w="2494" w:type="dxa"/>
            <w:shd w:val="clear" w:color="auto" w:fill="FFFFFF"/>
            <w:tcMar>
              <w:top w:w="75" w:type="dxa"/>
              <w:left w:w="75" w:type="dxa"/>
              <w:bottom w:w="75" w:type="dxa"/>
              <w:right w:w="75" w:type="dxa"/>
            </w:tcMar>
            <w:vAlign w:val="center"/>
          </w:tcPr>
          <w:p w14:paraId="767D9D4A">
            <w:pPr>
              <w:spacing w:before="40" w:after="40" w:line="264" w:lineRule="auto"/>
            </w:pPr>
            <w:r>
              <w:rPr>
                <w:b w:val="0"/>
                <w:sz w:val="19"/>
              </w:rPr>
              <w:t>onnxruntime</w:t>
            </w:r>
          </w:p>
        </w:tc>
        <w:tc>
          <w:tcPr>
            <w:tcW w:w="2098" w:type="dxa"/>
            <w:shd w:val="clear" w:color="auto" w:fill="FFFFFF"/>
            <w:tcMar>
              <w:top w:w="75" w:type="dxa"/>
              <w:left w:w="75" w:type="dxa"/>
              <w:bottom w:w="75" w:type="dxa"/>
              <w:right w:w="75" w:type="dxa"/>
            </w:tcMar>
            <w:vAlign w:val="center"/>
          </w:tcPr>
          <w:p w14:paraId="7CA725A3">
            <w:pPr>
              <w:spacing w:before="40" w:after="40" w:line="264" w:lineRule="auto"/>
              <w:jc w:val="center"/>
            </w:pPr>
            <w:r>
              <w:rPr>
                <w:b w:val="0"/>
                <w:sz w:val="19"/>
              </w:rPr>
              <w:t>0.0265</w:t>
            </w:r>
          </w:p>
        </w:tc>
        <w:tc>
          <w:tcPr>
            <w:tcW w:w="2098" w:type="dxa"/>
            <w:shd w:val="clear" w:color="auto" w:fill="FFFFFF"/>
            <w:tcMar>
              <w:top w:w="75" w:type="dxa"/>
              <w:left w:w="75" w:type="dxa"/>
              <w:bottom w:w="75" w:type="dxa"/>
              <w:right w:w="75" w:type="dxa"/>
            </w:tcMar>
            <w:vAlign w:val="center"/>
          </w:tcPr>
          <w:p w14:paraId="47A4420A">
            <w:pPr>
              <w:spacing w:before="40" w:after="40" w:line="264" w:lineRule="auto"/>
              <w:jc w:val="center"/>
            </w:pPr>
            <w:r>
              <w:rPr>
                <w:b w:val="0"/>
                <w:sz w:val="19"/>
              </w:rPr>
              <w:t>0.0246</w:t>
            </w:r>
          </w:p>
        </w:tc>
        <w:tc>
          <w:tcPr>
            <w:tcW w:w="2098" w:type="dxa"/>
            <w:shd w:val="clear" w:color="auto" w:fill="FFFFFF"/>
            <w:tcMar>
              <w:top w:w="75" w:type="dxa"/>
              <w:left w:w="75" w:type="dxa"/>
              <w:bottom w:w="75" w:type="dxa"/>
              <w:right w:w="75" w:type="dxa"/>
            </w:tcMar>
            <w:vAlign w:val="center"/>
          </w:tcPr>
          <w:p w14:paraId="24BB9B7C">
            <w:pPr>
              <w:spacing w:before="40" w:after="40" w:line="264" w:lineRule="auto"/>
              <w:jc w:val="center"/>
            </w:pPr>
            <w:r>
              <w:rPr>
                <w:b w:val="0"/>
                <w:sz w:val="19"/>
              </w:rPr>
              <w:t>0.0303</w:t>
            </w:r>
          </w:p>
        </w:tc>
      </w:tr>
      <w:tr w14:paraId="493FA628">
        <w:trPr>
          <w:cantSplit/>
          <w:jc w:val="center"/>
        </w:trPr>
        <w:tc>
          <w:tcPr>
            <w:tcW w:w="850" w:type="dxa"/>
            <w:shd w:val="clear" w:color="auto" w:fill="FFFFFF"/>
            <w:tcMar>
              <w:top w:w="75" w:type="dxa"/>
              <w:left w:w="75" w:type="dxa"/>
              <w:bottom w:w="75" w:type="dxa"/>
              <w:right w:w="75" w:type="dxa"/>
            </w:tcMar>
            <w:vAlign w:val="center"/>
          </w:tcPr>
          <w:p w14:paraId="6FE29DE1">
            <w:pPr>
              <w:spacing w:before="40" w:after="40" w:line="264" w:lineRule="auto"/>
              <w:jc w:val="center"/>
            </w:pPr>
            <w:r>
              <w:rPr>
                <w:b w:val="0"/>
                <w:sz w:val="19"/>
              </w:rPr>
              <w:t>32</w:t>
            </w:r>
          </w:p>
        </w:tc>
        <w:tc>
          <w:tcPr>
            <w:tcW w:w="2494" w:type="dxa"/>
            <w:shd w:val="clear" w:color="auto" w:fill="FFFFFF"/>
            <w:tcMar>
              <w:top w:w="75" w:type="dxa"/>
              <w:left w:w="75" w:type="dxa"/>
              <w:bottom w:w="75" w:type="dxa"/>
              <w:right w:w="75" w:type="dxa"/>
            </w:tcMar>
            <w:vAlign w:val="center"/>
          </w:tcPr>
          <w:p w14:paraId="4EF0F4A0">
            <w:pPr>
              <w:spacing w:before="40" w:after="40" w:line="264" w:lineRule="auto"/>
            </w:pPr>
            <w:r>
              <w:rPr>
                <w:b w:val="0"/>
                <w:sz w:val="19"/>
              </w:rPr>
              <w:t>pytorch</w:t>
            </w:r>
          </w:p>
        </w:tc>
        <w:tc>
          <w:tcPr>
            <w:tcW w:w="2098" w:type="dxa"/>
            <w:shd w:val="clear" w:color="auto" w:fill="FFFFFF"/>
            <w:tcMar>
              <w:top w:w="75" w:type="dxa"/>
              <w:left w:w="75" w:type="dxa"/>
              <w:bottom w:w="75" w:type="dxa"/>
              <w:right w:w="75" w:type="dxa"/>
            </w:tcMar>
            <w:vAlign w:val="center"/>
          </w:tcPr>
          <w:p w14:paraId="456C78DC">
            <w:pPr>
              <w:spacing w:before="40" w:after="40" w:line="264" w:lineRule="auto"/>
              <w:jc w:val="center"/>
            </w:pPr>
            <w:r>
              <w:rPr>
                <w:b w:val="0"/>
                <w:sz w:val="19"/>
              </w:rPr>
              <w:t>1.8190</w:t>
            </w:r>
          </w:p>
        </w:tc>
        <w:tc>
          <w:tcPr>
            <w:tcW w:w="2098" w:type="dxa"/>
            <w:shd w:val="clear" w:color="auto" w:fill="FFFFFF"/>
            <w:tcMar>
              <w:top w:w="75" w:type="dxa"/>
              <w:left w:w="75" w:type="dxa"/>
              <w:bottom w:w="75" w:type="dxa"/>
              <w:right w:w="75" w:type="dxa"/>
            </w:tcMar>
            <w:vAlign w:val="center"/>
          </w:tcPr>
          <w:p w14:paraId="2D795040">
            <w:pPr>
              <w:spacing w:before="40" w:after="40" w:line="264" w:lineRule="auto"/>
              <w:jc w:val="center"/>
            </w:pPr>
            <w:r>
              <w:rPr>
                <w:b w:val="0"/>
                <w:sz w:val="19"/>
              </w:rPr>
              <w:t>1.7063</w:t>
            </w:r>
          </w:p>
        </w:tc>
        <w:tc>
          <w:tcPr>
            <w:tcW w:w="2098" w:type="dxa"/>
            <w:shd w:val="clear" w:color="auto" w:fill="FFFFFF"/>
            <w:tcMar>
              <w:top w:w="75" w:type="dxa"/>
              <w:left w:w="75" w:type="dxa"/>
              <w:bottom w:w="75" w:type="dxa"/>
              <w:right w:w="75" w:type="dxa"/>
            </w:tcMar>
            <w:vAlign w:val="center"/>
          </w:tcPr>
          <w:p w14:paraId="55AA89FE">
            <w:pPr>
              <w:spacing w:before="40" w:after="40" w:line="264" w:lineRule="auto"/>
              <w:jc w:val="center"/>
            </w:pPr>
            <w:r>
              <w:rPr>
                <w:b w:val="0"/>
                <w:sz w:val="19"/>
              </w:rPr>
              <w:t>2.2820</w:t>
            </w:r>
          </w:p>
        </w:tc>
      </w:tr>
      <w:tr w14:paraId="500FEE86">
        <w:trPr>
          <w:cantSplit/>
          <w:jc w:val="center"/>
        </w:trPr>
        <w:tc>
          <w:tcPr>
            <w:tcW w:w="850" w:type="dxa"/>
            <w:shd w:val="clear" w:color="auto" w:fill="FFFFFF"/>
            <w:tcMar>
              <w:top w:w="75" w:type="dxa"/>
              <w:left w:w="75" w:type="dxa"/>
              <w:bottom w:w="75" w:type="dxa"/>
              <w:right w:w="75" w:type="dxa"/>
            </w:tcMar>
            <w:vAlign w:val="center"/>
          </w:tcPr>
          <w:p w14:paraId="521A6CF8">
            <w:pPr>
              <w:spacing w:before="40" w:after="40" w:line="264" w:lineRule="auto"/>
              <w:jc w:val="center"/>
            </w:pPr>
            <w:r>
              <w:rPr>
                <w:b w:val="0"/>
                <w:sz w:val="19"/>
              </w:rPr>
              <w:t>32</w:t>
            </w:r>
          </w:p>
        </w:tc>
        <w:tc>
          <w:tcPr>
            <w:tcW w:w="2494" w:type="dxa"/>
            <w:shd w:val="clear" w:color="auto" w:fill="FFFFFF"/>
            <w:tcMar>
              <w:top w:w="75" w:type="dxa"/>
              <w:left w:w="75" w:type="dxa"/>
              <w:bottom w:w="75" w:type="dxa"/>
              <w:right w:w="75" w:type="dxa"/>
            </w:tcMar>
            <w:vAlign w:val="center"/>
          </w:tcPr>
          <w:p w14:paraId="6B567BA0">
            <w:pPr>
              <w:spacing w:before="40" w:after="40" w:line="264" w:lineRule="auto"/>
            </w:pPr>
            <w:r>
              <w:rPr>
                <w:b w:val="0"/>
                <w:sz w:val="19"/>
              </w:rPr>
              <w:t>onnxruntime</w:t>
            </w:r>
          </w:p>
        </w:tc>
        <w:tc>
          <w:tcPr>
            <w:tcW w:w="2098" w:type="dxa"/>
            <w:shd w:val="clear" w:color="auto" w:fill="FFFFFF"/>
            <w:tcMar>
              <w:top w:w="75" w:type="dxa"/>
              <w:left w:w="75" w:type="dxa"/>
              <w:bottom w:w="75" w:type="dxa"/>
              <w:right w:w="75" w:type="dxa"/>
            </w:tcMar>
            <w:vAlign w:val="center"/>
          </w:tcPr>
          <w:p w14:paraId="5B433E59">
            <w:pPr>
              <w:spacing w:before="40" w:after="40" w:line="264" w:lineRule="auto"/>
              <w:jc w:val="center"/>
            </w:pPr>
            <w:r>
              <w:rPr>
                <w:b w:val="0"/>
                <w:sz w:val="19"/>
              </w:rPr>
              <w:t>0.5514</w:t>
            </w:r>
          </w:p>
        </w:tc>
        <w:tc>
          <w:tcPr>
            <w:tcW w:w="2098" w:type="dxa"/>
            <w:shd w:val="clear" w:color="auto" w:fill="FFFFFF"/>
            <w:tcMar>
              <w:top w:w="75" w:type="dxa"/>
              <w:left w:w="75" w:type="dxa"/>
              <w:bottom w:w="75" w:type="dxa"/>
              <w:right w:w="75" w:type="dxa"/>
            </w:tcMar>
            <w:vAlign w:val="center"/>
          </w:tcPr>
          <w:p w14:paraId="2B59E990">
            <w:pPr>
              <w:spacing w:before="40" w:after="40" w:line="264" w:lineRule="auto"/>
              <w:jc w:val="center"/>
            </w:pPr>
            <w:r>
              <w:rPr>
                <w:b w:val="0"/>
                <w:sz w:val="19"/>
              </w:rPr>
              <w:t>0.5238</w:t>
            </w:r>
          </w:p>
        </w:tc>
        <w:tc>
          <w:tcPr>
            <w:tcW w:w="2098" w:type="dxa"/>
            <w:shd w:val="clear" w:color="auto" w:fill="FFFFFF"/>
            <w:tcMar>
              <w:top w:w="75" w:type="dxa"/>
              <w:left w:w="75" w:type="dxa"/>
              <w:bottom w:w="75" w:type="dxa"/>
              <w:right w:w="75" w:type="dxa"/>
            </w:tcMar>
            <w:vAlign w:val="center"/>
          </w:tcPr>
          <w:p w14:paraId="1186F586">
            <w:pPr>
              <w:spacing w:before="40" w:after="40" w:line="264" w:lineRule="auto"/>
              <w:jc w:val="center"/>
            </w:pPr>
            <w:r>
              <w:rPr>
                <w:b w:val="0"/>
                <w:sz w:val="19"/>
              </w:rPr>
              <w:t>0.6039</w:t>
            </w:r>
          </w:p>
        </w:tc>
      </w:tr>
    </w:tbl>
    <w:p w14:paraId="1E826180">
      <w:pPr>
        <w:spacing w:before="120"/>
      </w:pPr>
      <w:r>
        <w:rPr>
          <w:b w:val="0"/>
        </w:rPr>
        <w:t>按 batch 1 中位延迟计算，PyTorch 延迟与 ONNX Runtime 延迟之比为 4.09。该结果仅适用于本机、本模型及上述配置，不代表所有模型上 ONNX Runtime 都更快。</w:t>
      </w:r>
    </w:p>
    <w:p w14:paraId="5CB2CABA">
      <w:pPr>
        <w:spacing w:before="120" w:after="120" w:line="240" w:lineRule="auto"/>
        <w:jc w:val="center"/>
      </w:pPr>
      <w:r>
        <w:drawing>
          <wp:inline distT="0" distB="0" distL="114300" distR="114300">
            <wp:extent cx="5399405" cy="1859915"/>
            <wp:effectExtent l="0" t="0" r="10795" b="196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00000" cy="1860000"/>
                    </a:xfrm>
                    <a:prstGeom prst="rect">
                      <a:avLst/>
                    </a:prstGeom>
                  </pic:spPr>
                </pic:pic>
              </a:graphicData>
            </a:graphic>
          </wp:inline>
        </w:drawing>
      </w:r>
    </w:p>
    <w:p w14:paraId="15CBF162">
      <w:r>
        <w:rPr>
          <w:b w:val="0"/>
        </w:rPr>
        <w:t>图 2 训练损失与验证准确率。训练损失含类别权重且使用增强，验证损失不含权重，两条损失曲线不宜直接比较绝对大小。</w:t>
      </w:r>
    </w:p>
    <w:p w14:paraId="2EBBDBDC">
      <w:pPr>
        <w:pStyle w:val="4"/>
      </w:pPr>
      <w:r>
        <w:t>复现步骤</w:t>
      </w:r>
    </w:p>
    <w:p w14:paraId="76E3832A">
      <w:r>
        <w:rPr>
          <w:b w:val="0"/>
        </w:rPr>
        <w:t>代码目录 extra_experiment 包含安装脚本、依赖版本和 experiment.py。在该目录运行以下命令；已准备好环境及数据时，只需第二行：</w:t>
      </w:r>
    </w:p>
    <w:p w14:paraId="29F7A75A">
      <w:pPr>
        <w:spacing w:after="20" w:line="252" w:lineRule="auto"/>
      </w:pPr>
      <w:r>
        <w:rPr>
          <w:rFonts w:ascii="Menlo" w:hAnsi="Menlo"/>
          <w:sz w:val="18"/>
        </w:rPr>
        <w:t>bash setup.sh</w:t>
      </w:r>
    </w:p>
    <w:p w14:paraId="18F06806">
      <w:pPr>
        <w:spacing w:after="20" w:line="252" w:lineRule="auto"/>
      </w:pPr>
      <w:r>
        <w:rPr>
          <w:rFonts w:ascii="Menlo" w:hAnsi="Menlo"/>
          <w:sz w:val="18"/>
        </w:rPr>
        <w:t>.venv/bin/python experiment.py</w:t>
      </w:r>
    </w:p>
    <w:p w14:paraId="675BB3A0">
      <w:r>
        <w:rPr>
          <w:b w:val="0"/>
        </w:rPr>
        <w:t>results 目录保存权重、ONNX 模型、划分清单、指标、原始延迟及图表。将代码和结果放入仓库 extra 文件夹；ai_log.md 记录本次 AI 辅助过程，可合并至仓库根目录。</w:t>
      </w:r>
    </w:p>
    <w:p w14:paraId="71B0F1BB">
      <w:pPr>
        <w:pStyle w:val="4"/>
      </w:pPr>
      <w:r>
        <w:t>结果解释与后续验证</w:t>
      </w:r>
    </w:p>
    <w:p w14:paraId="1D5CBF9F">
      <w:r>
        <w:rPr>
          <w:b w:val="0"/>
        </w:rPr>
        <w:t>实拍迁移应检查模糊、透视变化、裁剪误差和亮度差异。五类闭集模型对未知输入也会给出一个类别；接入完整系统前，需使用独立场景测试，并增加真实负样本或验证拒识机制。</w:t>
      </w:r>
    </w:p>
    <w:p w14:paraId="24027A03">
      <w:pPr>
        <w:pStyle w:val="3"/>
        <w:pageBreakBefore/>
      </w:pPr>
      <w:r>
        <w:t>附加题二 ARM 与 x86</w:t>
      </w:r>
    </w:p>
    <w:p w14:paraId="5A805044">
      <w:r>
        <w:rPr>
          <w:b w:val="0"/>
        </w:rPr>
        <w:t>ARM 与 x86 首先是指令集架构的区别，即软件可以使用哪些机器指令、寄存器以及相应的执行规则。指令集是软硬件接口；流水线、缓存、分支预测、制程与核数等属于具体处理器实现，不能把指令集名称直接当作性能或功耗结论。[6][7]</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3969"/>
        <w:gridCol w:w="3969"/>
      </w:tblGrid>
      <w:tr w14:paraId="7451234F">
        <w:trPr>
          <w:cantSplit/>
          <w:tblHeader/>
          <w:jc w:val="center"/>
        </w:trPr>
        <w:tc>
          <w:tcPr>
            <w:tcW w:w="1701" w:type="dxa"/>
            <w:shd w:val="clear" w:color="auto" w:fill="E8EEF2"/>
            <w:tcMar>
              <w:top w:w="75" w:type="dxa"/>
              <w:left w:w="75" w:type="dxa"/>
              <w:bottom w:w="75" w:type="dxa"/>
              <w:right w:w="75" w:type="dxa"/>
            </w:tcMar>
            <w:vAlign w:val="center"/>
          </w:tcPr>
          <w:p w14:paraId="6D4E28A4">
            <w:pPr>
              <w:spacing w:before="40" w:after="40" w:line="264" w:lineRule="auto"/>
            </w:pPr>
            <w:r>
              <w:rPr>
                <w:b/>
                <w:sz w:val="19"/>
              </w:rPr>
              <w:t>比较维度</w:t>
            </w:r>
          </w:p>
        </w:tc>
        <w:tc>
          <w:tcPr>
            <w:tcW w:w="3969" w:type="dxa"/>
            <w:shd w:val="clear" w:color="auto" w:fill="E8EEF2"/>
            <w:tcMar>
              <w:top w:w="75" w:type="dxa"/>
              <w:left w:w="75" w:type="dxa"/>
              <w:bottom w:w="75" w:type="dxa"/>
              <w:right w:w="75" w:type="dxa"/>
            </w:tcMar>
            <w:vAlign w:val="center"/>
          </w:tcPr>
          <w:p w14:paraId="17D31117">
            <w:pPr>
              <w:spacing w:before="40" w:after="40" w:line="264" w:lineRule="auto"/>
            </w:pPr>
            <w:r>
              <w:rPr>
                <w:b/>
                <w:sz w:val="19"/>
              </w:rPr>
              <w:t>ARM</w:t>
            </w:r>
          </w:p>
        </w:tc>
        <w:tc>
          <w:tcPr>
            <w:tcW w:w="3969" w:type="dxa"/>
            <w:shd w:val="clear" w:color="auto" w:fill="E8EEF2"/>
            <w:tcMar>
              <w:top w:w="75" w:type="dxa"/>
              <w:left w:w="75" w:type="dxa"/>
              <w:bottom w:w="75" w:type="dxa"/>
              <w:right w:w="75" w:type="dxa"/>
            </w:tcMar>
            <w:vAlign w:val="center"/>
          </w:tcPr>
          <w:p w14:paraId="7D56B62F">
            <w:pPr>
              <w:spacing w:before="40" w:after="40" w:line="264" w:lineRule="auto"/>
            </w:pPr>
            <w:r>
              <w:rPr>
                <w:b/>
                <w:sz w:val="19"/>
              </w:rPr>
              <w:t>x86</w:t>
            </w:r>
          </w:p>
        </w:tc>
      </w:tr>
      <w:tr w14:paraId="36AFE572">
        <w:trPr>
          <w:cantSplit/>
          <w:jc w:val="center"/>
        </w:trPr>
        <w:tc>
          <w:tcPr>
            <w:tcW w:w="1701" w:type="dxa"/>
            <w:shd w:val="clear" w:color="auto" w:fill="FFFFFF"/>
            <w:tcMar>
              <w:top w:w="75" w:type="dxa"/>
              <w:left w:w="75" w:type="dxa"/>
              <w:bottom w:w="75" w:type="dxa"/>
              <w:right w:w="75" w:type="dxa"/>
            </w:tcMar>
            <w:vAlign w:val="center"/>
          </w:tcPr>
          <w:p w14:paraId="3BED5300">
            <w:pPr>
              <w:spacing w:before="40" w:after="40" w:line="264" w:lineRule="auto"/>
            </w:pPr>
            <w:r>
              <w:rPr>
                <w:b w:val="0"/>
                <w:sz w:val="19"/>
              </w:rPr>
              <w:t>典型指令组织</w:t>
            </w:r>
          </w:p>
        </w:tc>
        <w:tc>
          <w:tcPr>
            <w:tcW w:w="3969" w:type="dxa"/>
            <w:shd w:val="clear" w:color="auto" w:fill="FFFFFF"/>
            <w:tcMar>
              <w:top w:w="75" w:type="dxa"/>
              <w:left w:w="75" w:type="dxa"/>
              <w:bottom w:w="75" w:type="dxa"/>
              <w:right w:w="75" w:type="dxa"/>
            </w:tcMar>
            <w:vAlign w:val="center"/>
          </w:tcPr>
          <w:p w14:paraId="03033A5D">
            <w:pPr>
              <w:spacing w:before="40" w:after="40" w:line="264" w:lineRule="auto"/>
            </w:pPr>
            <w:r>
              <w:rPr>
                <w:b w:val="0"/>
                <w:sz w:val="19"/>
              </w:rPr>
              <w:t>采用 RISC 设计思想；AArch64 的 A64 指令采用固定 32 位编码</w:t>
            </w:r>
          </w:p>
        </w:tc>
        <w:tc>
          <w:tcPr>
            <w:tcW w:w="3969" w:type="dxa"/>
            <w:shd w:val="clear" w:color="auto" w:fill="FFFFFF"/>
            <w:tcMar>
              <w:top w:w="75" w:type="dxa"/>
              <w:left w:w="75" w:type="dxa"/>
              <w:bottom w:w="75" w:type="dxa"/>
              <w:right w:w="75" w:type="dxa"/>
            </w:tcMar>
            <w:vAlign w:val="center"/>
          </w:tcPr>
          <w:p w14:paraId="3FFCA709">
            <w:pPr>
              <w:spacing w:before="40" w:after="40" w:line="264" w:lineRule="auto"/>
            </w:pPr>
            <w:r>
              <w:rPr>
                <w:b w:val="0"/>
                <w:sz w:val="19"/>
              </w:rPr>
              <w:t>采用 CISC 设计思想；指令采用可变长度编码，强调历史兼容</w:t>
            </w:r>
          </w:p>
        </w:tc>
      </w:tr>
      <w:tr w14:paraId="7052DD28">
        <w:trPr>
          <w:cantSplit/>
          <w:jc w:val="center"/>
        </w:trPr>
        <w:tc>
          <w:tcPr>
            <w:tcW w:w="1701" w:type="dxa"/>
            <w:shd w:val="clear" w:color="auto" w:fill="FFFFFF"/>
            <w:tcMar>
              <w:top w:w="75" w:type="dxa"/>
              <w:left w:w="75" w:type="dxa"/>
              <w:bottom w:w="75" w:type="dxa"/>
              <w:right w:w="75" w:type="dxa"/>
            </w:tcMar>
            <w:vAlign w:val="center"/>
          </w:tcPr>
          <w:p w14:paraId="31BF716E">
            <w:pPr>
              <w:spacing w:before="40" w:after="40" w:line="264" w:lineRule="auto"/>
            </w:pPr>
            <w:r>
              <w:rPr>
                <w:b w:val="0"/>
                <w:sz w:val="19"/>
              </w:rPr>
              <w:t>实现特点</w:t>
            </w:r>
          </w:p>
        </w:tc>
        <w:tc>
          <w:tcPr>
            <w:tcW w:w="3969" w:type="dxa"/>
            <w:shd w:val="clear" w:color="auto" w:fill="FFFFFF"/>
            <w:tcMar>
              <w:top w:w="75" w:type="dxa"/>
              <w:left w:w="75" w:type="dxa"/>
              <w:bottom w:w="75" w:type="dxa"/>
              <w:right w:w="75" w:type="dxa"/>
            </w:tcMar>
            <w:vAlign w:val="center"/>
          </w:tcPr>
          <w:p w14:paraId="329B0A42">
            <w:pPr>
              <w:spacing w:before="40" w:after="40" w:line="264" w:lineRule="auto"/>
            </w:pPr>
            <w:r>
              <w:rPr>
                <w:b w:val="0"/>
                <w:sz w:val="19"/>
              </w:rPr>
              <w:t>实现范围从微控制器到桌面与服务器；不同产品差异很大</w:t>
            </w:r>
          </w:p>
        </w:tc>
        <w:tc>
          <w:tcPr>
            <w:tcW w:w="3969" w:type="dxa"/>
            <w:shd w:val="clear" w:color="auto" w:fill="FFFFFF"/>
            <w:tcMar>
              <w:top w:w="75" w:type="dxa"/>
              <w:left w:w="75" w:type="dxa"/>
              <w:bottom w:w="75" w:type="dxa"/>
              <w:right w:w="75" w:type="dxa"/>
            </w:tcMar>
            <w:vAlign w:val="center"/>
          </w:tcPr>
          <w:p w14:paraId="35FF28D0">
            <w:pPr>
              <w:spacing w:before="40" w:after="40" w:line="264" w:lineRule="auto"/>
            </w:pPr>
            <w:r>
              <w:rPr>
                <w:b w:val="0"/>
                <w:sz w:val="19"/>
              </w:rPr>
              <w:t>现代高性能实现同样使用乱序执行、预测与内部微操作</w:t>
            </w:r>
          </w:p>
        </w:tc>
      </w:tr>
      <w:tr w14:paraId="10DB8C7C">
        <w:trPr>
          <w:cantSplit/>
          <w:jc w:val="center"/>
        </w:trPr>
        <w:tc>
          <w:tcPr>
            <w:tcW w:w="1701" w:type="dxa"/>
            <w:shd w:val="clear" w:color="auto" w:fill="FFFFFF"/>
            <w:tcMar>
              <w:top w:w="75" w:type="dxa"/>
              <w:left w:w="75" w:type="dxa"/>
              <w:bottom w:w="75" w:type="dxa"/>
              <w:right w:w="75" w:type="dxa"/>
            </w:tcMar>
            <w:vAlign w:val="center"/>
          </w:tcPr>
          <w:p w14:paraId="779C7B9E">
            <w:pPr>
              <w:spacing w:before="40" w:after="40" w:line="264" w:lineRule="auto"/>
            </w:pPr>
            <w:r>
              <w:rPr>
                <w:b w:val="0"/>
                <w:sz w:val="19"/>
              </w:rPr>
              <w:t>机器人常见形态</w:t>
            </w:r>
          </w:p>
        </w:tc>
        <w:tc>
          <w:tcPr>
            <w:tcW w:w="3969" w:type="dxa"/>
            <w:shd w:val="clear" w:color="auto" w:fill="FFFFFF"/>
            <w:tcMar>
              <w:top w:w="75" w:type="dxa"/>
              <w:left w:w="75" w:type="dxa"/>
              <w:bottom w:w="75" w:type="dxa"/>
              <w:right w:w="75" w:type="dxa"/>
            </w:tcMar>
            <w:vAlign w:val="center"/>
          </w:tcPr>
          <w:p w14:paraId="2013947B">
            <w:pPr>
              <w:spacing w:before="40" w:after="40" w:line="264" w:lineRule="auto"/>
            </w:pPr>
            <w:r>
              <w:rPr>
                <w:b w:val="0"/>
                <w:sz w:val="19"/>
              </w:rPr>
              <w:t>嵌入式 SoC、控制器及集成加速器的平台较多</w:t>
            </w:r>
          </w:p>
        </w:tc>
        <w:tc>
          <w:tcPr>
            <w:tcW w:w="3969" w:type="dxa"/>
            <w:shd w:val="clear" w:color="auto" w:fill="FFFFFF"/>
            <w:tcMar>
              <w:top w:w="75" w:type="dxa"/>
              <w:left w:w="75" w:type="dxa"/>
              <w:bottom w:w="75" w:type="dxa"/>
              <w:right w:w="75" w:type="dxa"/>
            </w:tcMar>
            <w:vAlign w:val="center"/>
          </w:tcPr>
          <w:p w14:paraId="1B2A2728">
            <w:pPr>
              <w:spacing w:before="40" w:after="40" w:line="264" w:lineRule="auto"/>
            </w:pPr>
            <w:r>
              <w:rPr>
                <w:b w:val="0"/>
                <w:sz w:val="19"/>
              </w:rPr>
              <w:t>工控机、开发工作站和需要特定软件兼容性的系统常见</w:t>
            </w:r>
          </w:p>
        </w:tc>
      </w:tr>
      <w:tr w14:paraId="650FF14E">
        <w:trPr>
          <w:cantSplit/>
          <w:jc w:val="center"/>
        </w:trPr>
        <w:tc>
          <w:tcPr>
            <w:tcW w:w="1701" w:type="dxa"/>
            <w:shd w:val="clear" w:color="auto" w:fill="FFFFFF"/>
            <w:tcMar>
              <w:top w:w="75" w:type="dxa"/>
              <w:left w:w="75" w:type="dxa"/>
              <w:bottom w:w="75" w:type="dxa"/>
              <w:right w:w="75" w:type="dxa"/>
            </w:tcMar>
            <w:vAlign w:val="center"/>
          </w:tcPr>
          <w:p w14:paraId="72DF4683">
            <w:pPr>
              <w:spacing w:before="40" w:after="40" w:line="264" w:lineRule="auto"/>
            </w:pPr>
            <w:r>
              <w:rPr>
                <w:b w:val="0"/>
                <w:sz w:val="19"/>
              </w:rPr>
              <w:t>程序兼容</w:t>
            </w:r>
          </w:p>
        </w:tc>
        <w:tc>
          <w:tcPr>
            <w:tcW w:w="3969" w:type="dxa"/>
            <w:shd w:val="clear" w:color="auto" w:fill="FFFFFF"/>
            <w:tcMar>
              <w:top w:w="75" w:type="dxa"/>
              <w:left w:w="75" w:type="dxa"/>
              <w:bottom w:w="75" w:type="dxa"/>
              <w:right w:w="75" w:type="dxa"/>
            </w:tcMar>
            <w:vAlign w:val="center"/>
          </w:tcPr>
          <w:p w14:paraId="0BB34945">
            <w:pPr>
              <w:spacing w:before="40" w:after="40" w:line="264" w:lineRule="auto"/>
            </w:pPr>
            <w:r>
              <w:rPr>
                <w:b w:val="0"/>
                <w:sz w:val="19"/>
              </w:rPr>
              <w:t>需要 arm64 对应的本机库、驱动和软件包</w:t>
            </w:r>
          </w:p>
        </w:tc>
        <w:tc>
          <w:tcPr>
            <w:tcW w:w="3969" w:type="dxa"/>
            <w:shd w:val="clear" w:color="auto" w:fill="FFFFFF"/>
            <w:tcMar>
              <w:top w:w="75" w:type="dxa"/>
              <w:left w:w="75" w:type="dxa"/>
              <w:bottom w:w="75" w:type="dxa"/>
              <w:right w:w="75" w:type="dxa"/>
            </w:tcMar>
            <w:vAlign w:val="center"/>
          </w:tcPr>
          <w:p w14:paraId="093DE027">
            <w:pPr>
              <w:spacing w:before="40" w:after="40" w:line="264" w:lineRule="auto"/>
            </w:pPr>
            <w:r>
              <w:rPr>
                <w:b w:val="0"/>
                <w:sz w:val="19"/>
              </w:rPr>
              <w:t>需要 x86 或 x86_64 对应的本机库、驱动和软件包</w:t>
            </w:r>
          </w:p>
        </w:tc>
      </w:tr>
    </w:tbl>
    <w:p w14:paraId="5990495D">
      <w:pPr>
        <w:spacing w:before="120"/>
        <w:rPr>
          <w:rFonts w:hint="eastAsia" w:ascii="Heiti SC Light" w:hAnsi="Heiti SC Light" w:eastAsia="Songti SC" w:cs="Heiti SC Light"/>
          <w:lang w:val="en-US" w:eastAsia="zh-CN"/>
        </w:rPr>
      </w:pPr>
      <w:r>
        <w:rPr>
          <w:b w:val="0"/>
        </w:rPr>
        <w:t>“ARM 的每条指令都在一个时钟周期完成”并不成立；A64 的定长编码也不能推广到所有 ARM 指令集。现代处理器性能应根据实际模型和软件栈测试，不能简单归结为 RISC 一定更快或 CISC 一定耗电。</w:t>
      </w:r>
      <w:r>
        <w:rPr>
          <w:rFonts w:hint="eastAsia" w:ascii="PingFang SC Regular" w:hAnsi="PingFang SC Regular" w:eastAsia="PingFang SC Regular" w:cs="PingFang SC Regular"/>
          <w:b w:val="0"/>
          <w:highlight w:val="magenta"/>
          <w:lang w:eastAsia="zh-CN"/>
        </w:rPr>
        <w:t>（</w:t>
      </w:r>
      <w:r>
        <w:rPr>
          <w:rFonts w:hint="eastAsia" w:ascii="PingFang SC Regular" w:hAnsi="PingFang SC Regular" w:eastAsia="PingFang SC Regular" w:cs="PingFang SC Regular"/>
          <w:b w:val="0"/>
          <w:highlight w:val="magenta"/>
          <w:lang w:val="en-US" w:eastAsia="zh-CN"/>
        </w:rPr>
        <w:t>简单来讲 两者指令长度一个可变一个不可变导致一系列的差别</w:t>
      </w:r>
      <w:r>
        <w:rPr>
          <w:rFonts w:hint="eastAsia" w:ascii="PingFang SC Regular" w:hAnsi="PingFang SC Regular" w:eastAsia="PingFang SC Regular" w:cs="PingFang SC Regular"/>
          <w:b w:val="0"/>
          <w:highlight w:val="magenta"/>
          <w:lang w:eastAsia="zh-CN"/>
        </w:rPr>
        <w:t>）</w:t>
      </w:r>
    </w:p>
    <w:p w14:paraId="5A42D908">
      <w:pPr>
        <w:pStyle w:val="4"/>
      </w:pPr>
      <w:r>
        <w:t>机器人常用 ARM 平台的原因</w:t>
      </w:r>
    </w:p>
    <w:p w14:paraId="01D66CCD">
      <w:pPr>
        <w:rPr>
          <w:rFonts w:hint="default" w:ascii="PingFang SC Regular" w:hAnsi="PingFang SC Regular" w:eastAsia="PingFang SC Regular" w:cs="PingFang SC Regular"/>
          <w:highlight w:val="magenta"/>
          <w:lang w:val="en-US" w:eastAsia="zh-CN"/>
        </w:rPr>
      </w:pPr>
      <w:r>
        <w:rPr>
          <w:b w:val="0"/>
        </w:rPr>
        <w:t>移动机器人受电池容量、散热空间和重量限制，常希望在有限功耗下获得足够计算能力。许多 ARM SoC 将 CPU、相机接口、存储控制器及 GPU 或 NPU 集成在一起，减少外设连接与系统体积，便于形成紧凑的机载计算平台。</w:t>
      </w:r>
      <w:r>
        <w:rPr>
          <w:rFonts w:hint="eastAsia" w:ascii="PingFang SC Regular" w:hAnsi="PingFang SC Regular" w:eastAsia="PingFang SC Regular" w:cs="PingFang SC Regular"/>
          <w:b w:val="0"/>
          <w:highlight w:val="magenta"/>
          <w:lang w:val="en-US" w:eastAsia="zh-CN"/>
        </w:rPr>
        <w:t>考虑到能否在“预算”内完成任务 所以通常选择arm</w:t>
      </w:r>
    </w:p>
    <w:p w14:paraId="4B7A84E4">
      <w:r>
        <w:rPr>
          <w:b w:val="0"/>
        </w:rPr>
        <w:t>平台选择还取决于传感器驱动、通信接口、实时性要求和软件生态。例如控制循环与视觉推理可以由不同处理单元承担，不能因视觉程序运行在 ARM Linux 上，就认为它天然满足硬实时要求。</w:t>
      </w:r>
    </w:p>
    <w:p w14:paraId="36E7B2E2">
      <w:r>
        <w:rPr>
          <w:b w:val="0"/>
        </w:rPr>
        <w:t>ARM 并非机器人唯一合理选择。已有 x86 工控机、成熟驱动或较高功耗预算时，x86 也可能更合适。工程上应比较整个系统的功耗、延迟、散热、成本与维护难度，而非只比较指令集名称。</w:t>
      </w:r>
    </w:p>
    <w:p w14:paraId="6216DD3F">
      <w:pPr>
        <w:pStyle w:val="3"/>
        <w:pageBreakBefore/>
      </w:pPr>
      <w:r>
        <w:t>附加题二 NPU 与 GPU</w:t>
      </w:r>
    </w:p>
    <w:p w14:paraId="0AED993E">
      <w:pPr>
        <w:pStyle w:val="30"/>
        <w:keepNext w:val="0"/>
        <w:keepLines w:val="0"/>
        <w:widowControl/>
        <w:suppressLineNumbers w:val="0"/>
        <w:rPr>
          <w:b w:val="0"/>
        </w:rPr>
      </w:pPr>
      <w:r>
        <w:rPr>
          <w:b w:val="0"/>
        </w:rPr>
        <w:t>NPU 是主要面向神经网络计算的专用加速器；GPU 是具有大量并行计算单元的处理器，也广泛用于神经网络训练与推理。二者与 ARM 或 x86 属于不同维度：同一 ARM 或 x86 平台都可能配置 GPU、NPU，CPU 的指令集不决定加速器类型。[8]</w:t>
      </w:r>
    </w:p>
    <w:p w14:paraId="6CBCBAD0">
      <w:pPr>
        <w:pStyle w:val="30"/>
        <w:keepNext w:val="0"/>
        <w:keepLines w:val="0"/>
        <w:widowControl/>
        <w:suppressLineNumbers w:val="0"/>
        <w:rPr>
          <w:rFonts w:hint="eastAsia" w:ascii="PingFang SC Regular" w:hAnsi="PingFang SC Regular" w:eastAsia="PingFang SC Regular" w:cs="PingFang SC Regular"/>
        </w:rPr>
      </w:pPr>
      <w:r>
        <w:rPr>
          <w:rFonts w:hint="eastAsia" w:ascii="PingFang SC Regular" w:hAnsi="PingFang SC Regular" w:eastAsia="PingFang SC Regular" w:cs="PingFang SC Regular"/>
          <w:highlight w:val="magenta"/>
        </w:rPr>
        <w:t>神经网络推理需要大量乘加运算。GPU</w:t>
      </w:r>
      <w:r>
        <w:rPr>
          <w:rFonts w:hint="eastAsia" w:ascii="PingFang SC Regular" w:hAnsi="PingFang SC Regular" w:eastAsia="PingFang SC Regular" w:cs="PingFang SC Regular"/>
          <w:highlight w:val="magenta"/>
          <w:lang w:val="en-US" w:eastAsia="zh-CN"/>
        </w:rPr>
        <w:t>会有</w:t>
      </w:r>
      <w:r>
        <w:rPr>
          <w:rFonts w:hint="eastAsia" w:ascii="PingFang SC Regular" w:hAnsi="PingFang SC Regular" w:eastAsia="PingFang SC Regular" w:cs="PingFang SC Regular"/>
          <w:highlight w:val="magenta"/>
        </w:rPr>
        <w:t>很多计算单元并行处理，比较灵活；NPU 为这些常用运算设计专门的电路，并减少数据搬运，所以运行适配的模型时通常更省电。</w:t>
      </w:r>
    </w:p>
    <w:p w14:paraId="137C9F10"/>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531"/>
        <w:gridCol w:w="4054"/>
        <w:gridCol w:w="4054"/>
      </w:tblGrid>
      <w:tr w14:paraId="15FC40D7">
        <w:trPr>
          <w:cantSplit/>
          <w:tblHeader/>
          <w:jc w:val="center"/>
        </w:trPr>
        <w:tc>
          <w:tcPr>
            <w:tcW w:w="1531" w:type="dxa"/>
            <w:shd w:val="clear" w:color="auto" w:fill="E8EEF2"/>
            <w:tcMar>
              <w:top w:w="75" w:type="dxa"/>
              <w:left w:w="75" w:type="dxa"/>
              <w:bottom w:w="75" w:type="dxa"/>
              <w:right w:w="75" w:type="dxa"/>
            </w:tcMar>
            <w:vAlign w:val="center"/>
          </w:tcPr>
          <w:p w14:paraId="754A7949">
            <w:pPr>
              <w:spacing w:before="40" w:after="40" w:line="264" w:lineRule="auto"/>
            </w:pPr>
            <w:r>
              <w:rPr>
                <w:b/>
                <w:sz w:val="19"/>
              </w:rPr>
              <w:t>维度</w:t>
            </w:r>
          </w:p>
        </w:tc>
        <w:tc>
          <w:tcPr>
            <w:tcW w:w="4054" w:type="dxa"/>
            <w:shd w:val="clear" w:color="auto" w:fill="E8EEF2"/>
            <w:tcMar>
              <w:top w:w="75" w:type="dxa"/>
              <w:left w:w="75" w:type="dxa"/>
              <w:bottom w:w="75" w:type="dxa"/>
              <w:right w:w="75" w:type="dxa"/>
            </w:tcMar>
            <w:vAlign w:val="center"/>
          </w:tcPr>
          <w:p w14:paraId="587AC316">
            <w:pPr>
              <w:spacing w:before="40" w:after="40" w:line="264" w:lineRule="auto"/>
            </w:pPr>
            <w:r>
              <w:rPr>
                <w:b/>
                <w:sz w:val="19"/>
              </w:rPr>
              <w:t>NPU</w:t>
            </w:r>
          </w:p>
        </w:tc>
        <w:tc>
          <w:tcPr>
            <w:tcW w:w="4054" w:type="dxa"/>
            <w:shd w:val="clear" w:color="auto" w:fill="E8EEF2"/>
            <w:tcMar>
              <w:top w:w="75" w:type="dxa"/>
              <w:left w:w="75" w:type="dxa"/>
              <w:bottom w:w="75" w:type="dxa"/>
              <w:right w:w="75" w:type="dxa"/>
            </w:tcMar>
            <w:vAlign w:val="center"/>
          </w:tcPr>
          <w:p w14:paraId="1CAABE41">
            <w:pPr>
              <w:spacing w:before="40" w:after="40" w:line="264" w:lineRule="auto"/>
            </w:pPr>
            <w:r>
              <w:rPr>
                <w:b/>
                <w:sz w:val="19"/>
              </w:rPr>
              <w:t>GPU</w:t>
            </w:r>
          </w:p>
        </w:tc>
      </w:tr>
      <w:tr w14:paraId="4F266701">
        <w:trPr>
          <w:cantSplit/>
          <w:jc w:val="center"/>
        </w:trPr>
        <w:tc>
          <w:tcPr>
            <w:tcW w:w="1531" w:type="dxa"/>
            <w:shd w:val="clear" w:color="auto" w:fill="FFFFFF"/>
            <w:tcMar>
              <w:top w:w="75" w:type="dxa"/>
              <w:left w:w="75" w:type="dxa"/>
              <w:bottom w:w="75" w:type="dxa"/>
              <w:right w:w="75" w:type="dxa"/>
            </w:tcMar>
            <w:vAlign w:val="center"/>
          </w:tcPr>
          <w:p w14:paraId="50D22C37">
            <w:pPr>
              <w:spacing w:before="40" w:after="40" w:line="264" w:lineRule="auto"/>
            </w:pPr>
            <w:r>
              <w:rPr>
                <w:b w:val="0"/>
                <w:sz w:val="19"/>
              </w:rPr>
              <w:t>设计重点</w:t>
            </w:r>
          </w:p>
        </w:tc>
        <w:tc>
          <w:tcPr>
            <w:tcW w:w="4054" w:type="dxa"/>
            <w:shd w:val="clear" w:color="auto" w:fill="FFFFFF"/>
            <w:tcMar>
              <w:top w:w="75" w:type="dxa"/>
              <w:left w:w="75" w:type="dxa"/>
              <w:bottom w:w="75" w:type="dxa"/>
              <w:right w:w="75" w:type="dxa"/>
            </w:tcMar>
            <w:vAlign w:val="center"/>
          </w:tcPr>
          <w:p w14:paraId="5B449C6B">
            <w:pPr>
              <w:spacing w:before="40" w:after="40" w:line="264" w:lineRule="auto"/>
            </w:pPr>
            <w:r>
              <w:rPr>
                <w:b w:val="0"/>
                <w:sz w:val="19"/>
              </w:rPr>
              <w:t>围绕支持的神经网络算子和数据流优化，常追求低功耗推理</w:t>
            </w:r>
          </w:p>
        </w:tc>
        <w:tc>
          <w:tcPr>
            <w:tcW w:w="4054" w:type="dxa"/>
            <w:shd w:val="clear" w:color="auto" w:fill="FFFFFF"/>
            <w:tcMar>
              <w:top w:w="75" w:type="dxa"/>
              <w:left w:w="75" w:type="dxa"/>
              <w:bottom w:w="75" w:type="dxa"/>
              <w:right w:w="75" w:type="dxa"/>
            </w:tcMar>
            <w:vAlign w:val="center"/>
          </w:tcPr>
          <w:p w14:paraId="4933465B">
            <w:pPr>
              <w:spacing w:before="40" w:after="40" w:line="264" w:lineRule="auto"/>
            </w:pPr>
            <w:r>
              <w:rPr>
                <w:b w:val="0"/>
                <w:sz w:val="19"/>
              </w:rPr>
              <w:t>并行计算适用范围较广，既支持推理也支持训练</w:t>
            </w:r>
          </w:p>
        </w:tc>
      </w:tr>
      <w:tr w14:paraId="491600D9">
        <w:trPr>
          <w:cantSplit/>
          <w:jc w:val="center"/>
        </w:trPr>
        <w:tc>
          <w:tcPr>
            <w:tcW w:w="1531" w:type="dxa"/>
            <w:shd w:val="clear" w:color="auto" w:fill="FFFFFF"/>
            <w:tcMar>
              <w:top w:w="75" w:type="dxa"/>
              <w:left w:w="75" w:type="dxa"/>
              <w:bottom w:w="75" w:type="dxa"/>
              <w:right w:w="75" w:type="dxa"/>
            </w:tcMar>
            <w:vAlign w:val="center"/>
          </w:tcPr>
          <w:p w14:paraId="19C48C89">
            <w:pPr>
              <w:spacing w:before="40" w:after="40" w:line="264" w:lineRule="auto"/>
            </w:pPr>
            <w:r>
              <w:rPr>
                <w:b w:val="0"/>
                <w:sz w:val="19"/>
              </w:rPr>
              <w:t>数值精度</w:t>
            </w:r>
          </w:p>
        </w:tc>
        <w:tc>
          <w:tcPr>
            <w:tcW w:w="4054" w:type="dxa"/>
            <w:shd w:val="clear" w:color="auto" w:fill="FFFFFF"/>
            <w:tcMar>
              <w:top w:w="75" w:type="dxa"/>
              <w:left w:w="75" w:type="dxa"/>
              <w:bottom w:w="75" w:type="dxa"/>
              <w:right w:w="75" w:type="dxa"/>
            </w:tcMar>
            <w:vAlign w:val="center"/>
          </w:tcPr>
          <w:p w14:paraId="5FC97F83">
            <w:pPr>
              <w:spacing w:before="40" w:after="40" w:line="264" w:lineRule="auto"/>
            </w:pPr>
            <w:r>
              <w:rPr>
                <w:b w:val="0"/>
                <w:sz w:val="19"/>
              </w:rPr>
              <w:t>常针对 INT8、FP16 等进行优化，具体取决于芯片</w:t>
            </w:r>
          </w:p>
        </w:tc>
        <w:tc>
          <w:tcPr>
            <w:tcW w:w="4054" w:type="dxa"/>
            <w:shd w:val="clear" w:color="auto" w:fill="FFFFFF"/>
            <w:tcMar>
              <w:top w:w="75" w:type="dxa"/>
              <w:left w:w="75" w:type="dxa"/>
              <w:bottom w:w="75" w:type="dxa"/>
              <w:right w:w="75" w:type="dxa"/>
            </w:tcMar>
            <w:vAlign w:val="center"/>
          </w:tcPr>
          <w:p w14:paraId="58316A83">
            <w:pPr>
              <w:spacing w:before="40" w:after="40" w:line="264" w:lineRule="auto"/>
            </w:pPr>
            <w:r>
              <w:rPr>
                <w:b w:val="0"/>
                <w:sz w:val="19"/>
              </w:rPr>
              <w:t>常支持多种浮点与整数计算；能力取决于硬件及软件</w:t>
            </w:r>
          </w:p>
        </w:tc>
      </w:tr>
      <w:tr w14:paraId="6A8A550B">
        <w:trPr>
          <w:cantSplit/>
          <w:jc w:val="center"/>
        </w:trPr>
        <w:tc>
          <w:tcPr>
            <w:tcW w:w="1531" w:type="dxa"/>
            <w:shd w:val="clear" w:color="auto" w:fill="FFFFFF"/>
            <w:tcMar>
              <w:top w:w="75" w:type="dxa"/>
              <w:left w:w="75" w:type="dxa"/>
              <w:bottom w:w="75" w:type="dxa"/>
              <w:right w:w="75" w:type="dxa"/>
            </w:tcMar>
            <w:vAlign w:val="center"/>
          </w:tcPr>
          <w:p w14:paraId="3371D9D3">
            <w:pPr>
              <w:spacing w:before="40" w:after="40" w:line="264" w:lineRule="auto"/>
            </w:pPr>
            <w:r>
              <w:rPr>
                <w:b w:val="0"/>
                <w:sz w:val="19"/>
              </w:rPr>
              <w:t>模型适配</w:t>
            </w:r>
          </w:p>
        </w:tc>
        <w:tc>
          <w:tcPr>
            <w:tcW w:w="4054" w:type="dxa"/>
            <w:shd w:val="clear" w:color="auto" w:fill="FFFFFF"/>
            <w:tcMar>
              <w:top w:w="75" w:type="dxa"/>
              <w:left w:w="75" w:type="dxa"/>
              <w:bottom w:w="75" w:type="dxa"/>
              <w:right w:w="75" w:type="dxa"/>
            </w:tcMar>
            <w:vAlign w:val="center"/>
          </w:tcPr>
          <w:p w14:paraId="387DD201">
            <w:pPr>
              <w:spacing w:before="40" w:after="40" w:line="264" w:lineRule="auto"/>
            </w:pPr>
            <w:r>
              <w:rPr>
                <w:b w:val="0"/>
                <w:sz w:val="19"/>
              </w:rPr>
              <w:t>需关注算子、形状、量化和厂商编译器支持，可能出现 CPU 回退</w:t>
            </w:r>
          </w:p>
        </w:tc>
        <w:tc>
          <w:tcPr>
            <w:tcW w:w="4054" w:type="dxa"/>
            <w:shd w:val="clear" w:color="auto" w:fill="FFFFFF"/>
            <w:tcMar>
              <w:top w:w="75" w:type="dxa"/>
              <w:left w:w="75" w:type="dxa"/>
              <w:bottom w:w="75" w:type="dxa"/>
              <w:right w:w="75" w:type="dxa"/>
            </w:tcMar>
            <w:vAlign w:val="center"/>
          </w:tcPr>
          <w:p w14:paraId="2239A763">
            <w:pPr>
              <w:spacing w:before="40" w:after="40" w:line="264" w:lineRule="auto"/>
            </w:pPr>
            <w:r>
              <w:rPr>
                <w:b w:val="0"/>
                <w:sz w:val="19"/>
              </w:rPr>
              <w:t>框架支持通常更广，但仍依赖驱动、运行时与算子实现</w:t>
            </w:r>
          </w:p>
        </w:tc>
      </w:tr>
      <w:tr w14:paraId="71B71A7C">
        <w:trPr>
          <w:cantSplit/>
          <w:jc w:val="center"/>
        </w:trPr>
        <w:tc>
          <w:tcPr>
            <w:tcW w:w="1531" w:type="dxa"/>
            <w:shd w:val="clear" w:color="auto" w:fill="FFFFFF"/>
            <w:tcMar>
              <w:top w:w="75" w:type="dxa"/>
              <w:left w:w="75" w:type="dxa"/>
              <w:bottom w:w="75" w:type="dxa"/>
              <w:right w:w="75" w:type="dxa"/>
            </w:tcMar>
            <w:vAlign w:val="center"/>
          </w:tcPr>
          <w:p w14:paraId="6BC57671">
            <w:pPr>
              <w:spacing w:before="40" w:after="40" w:line="264" w:lineRule="auto"/>
            </w:pPr>
            <w:r>
              <w:rPr>
                <w:b w:val="0"/>
                <w:sz w:val="19"/>
              </w:rPr>
              <w:t>推理代价</w:t>
            </w:r>
          </w:p>
        </w:tc>
        <w:tc>
          <w:tcPr>
            <w:tcW w:w="4054" w:type="dxa"/>
            <w:shd w:val="clear" w:color="auto" w:fill="FFFFFF"/>
            <w:tcMar>
              <w:top w:w="75" w:type="dxa"/>
              <w:left w:w="75" w:type="dxa"/>
              <w:bottom w:w="75" w:type="dxa"/>
              <w:right w:w="75" w:type="dxa"/>
            </w:tcMar>
            <w:vAlign w:val="center"/>
          </w:tcPr>
          <w:p w14:paraId="11A7CFAF">
            <w:pPr>
              <w:spacing w:before="40" w:after="40" w:line="264" w:lineRule="auto"/>
            </w:pPr>
            <w:r>
              <w:rPr>
                <w:b w:val="0"/>
                <w:sz w:val="19"/>
              </w:rPr>
              <w:t>适配充分时可获得较好的能效；转换和数据搬运也会产生开销</w:t>
            </w:r>
          </w:p>
        </w:tc>
        <w:tc>
          <w:tcPr>
            <w:tcW w:w="4054" w:type="dxa"/>
            <w:shd w:val="clear" w:color="auto" w:fill="FFFFFF"/>
            <w:tcMar>
              <w:top w:w="75" w:type="dxa"/>
              <w:left w:w="75" w:type="dxa"/>
              <w:bottom w:w="75" w:type="dxa"/>
              <w:right w:w="75" w:type="dxa"/>
            </w:tcMar>
            <w:vAlign w:val="center"/>
          </w:tcPr>
          <w:p w14:paraId="6B898268">
            <w:pPr>
              <w:spacing w:before="40" w:after="40" w:line="264" w:lineRule="auto"/>
            </w:pPr>
            <w:r>
              <w:rPr>
                <w:b w:val="0"/>
                <w:sz w:val="19"/>
              </w:rPr>
              <w:t>吞吐能力强；小模型和小 batch 可能受到启动、调度开销影响</w:t>
            </w:r>
          </w:p>
        </w:tc>
      </w:tr>
      <w:tr w14:paraId="3A2ACD45">
        <w:trPr>
          <w:cantSplit/>
          <w:jc w:val="center"/>
        </w:trPr>
        <w:tc>
          <w:tcPr>
            <w:tcW w:w="1531" w:type="dxa"/>
            <w:shd w:val="clear" w:color="auto" w:fill="FFFFFF"/>
            <w:tcMar>
              <w:top w:w="75" w:type="dxa"/>
              <w:left w:w="75" w:type="dxa"/>
              <w:bottom w:w="75" w:type="dxa"/>
              <w:right w:w="75" w:type="dxa"/>
            </w:tcMar>
            <w:vAlign w:val="center"/>
          </w:tcPr>
          <w:p w14:paraId="68EBD859">
            <w:pPr>
              <w:spacing w:before="40" w:after="40" w:line="264" w:lineRule="auto"/>
            </w:pPr>
            <w:r>
              <w:rPr>
                <w:b w:val="0"/>
                <w:sz w:val="19"/>
              </w:rPr>
              <w:t>选型依据</w:t>
            </w:r>
          </w:p>
        </w:tc>
        <w:tc>
          <w:tcPr>
            <w:tcW w:w="4054" w:type="dxa"/>
            <w:shd w:val="clear" w:color="auto" w:fill="FFFFFF"/>
            <w:tcMar>
              <w:top w:w="75" w:type="dxa"/>
              <w:left w:w="75" w:type="dxa"/>
              <w:bottom w:w="75" w:type="dxa"/>
              <w:right w:w="75" w:type="dxa"/>
            </w:tcMar>
            <w:vAlign w:val="center"/>
          </w:tcPr>
          <w:p w14:paraId="384E7D09">
            <w:pPr>
              <w:spacing w:before="40" w:after="40" w:line="264" w:lineRule="auto"/>
            </w:pPr>
            <w:r>
              <w:rPr>
                <w:b w:val="0"/>
                <w:sz w:val="19"/>
              </w:rPr>
              <w:t>模型能否完整部署、真实延迟和能耗、精度变化</w:t>
            </w:r>
          </w:p>
        </w:tc>
        <w:tc>
          <w:tcPr>
            <w:tcW w:w="4054" w:type="dxa"/>
            <w:shd w:val="clear" w:color="auto" w:fill="FFFFFF"/>
            <w:tcMar>
              <w:top w:w="75" w:type="dxa"/>
              <w:left w:w="75" w:type="dxa"/>
              <w:bottom w:w="75" w:type="dxa"/>
              <w:right w:w="75" w:type="dxa"/>
            </w:tcMar>
            <w:vAlign w:val="center"/>
          </w:tcPr>
          <w:p w14:paraId="3B256B6D">
            <w:pPr>
              <w:spacing w:before="40" w:after="40" w:line="264" w:lineRule="auto"/>
            </w:pPr>
            <w:r>
              <w:rPr>
                <w:b w:val="0"/>
                <w:sz w:val="19"/>
              </w:rPr>
              <w:t>实际吞吐与延迟、功耗、显存、软件兼容性</w:t>
            </w:r>
          </w:p>
        </w:tc>
      </w:tr>
    </w:tbl>
    <w:p w14:paraId="2208E1E3">
      <w:pPr>
        <w:spacing w:before="120"/>
      </w:pPr>
      <w:r>
        <w:rPr>
          <w:b w:val="0"/>
        </w:rPr>
        <w:t>NPU 适合模型相对固定、算子已支持且功耗受限的部署场景；GPU 更适合需要频繁迭代网络、使用较广算子集或兼顾训练的场景。这是一般选型思路，不能替代目标硬件实测。</w:t>
      </w:r>
    </w:p>
    <w:p w14:paraId="376190CE">
      <w:r>
        <w:rPr>
          <w:b w:val="0"/>
        </w:rPr>
        <w:t>TOPS 表示特定精度下的理论峰值运算能力。比较时必须同时看精度、稀疏性条件、内存带宽、利用率及数据搬运；更高 TOPS 不保证更低端到端延迟。量化模型还应验证精度下降和不支持算子的回退开销。</w:t>
      </w:r>
    </w:p>
    <w:p w14:paraId="484BD2BA">
      <w:pPr>
        <w:rPr>
          <w:rFonts w:hint="default" w:eastAsia="Songti SC"/>
          <w:lang w:val="en-US" w:eastAsia="zh-CN"/>
        </w:rPr>
      </w:pPr>
      <w:r>
        <w:rPr>
          <w:b w:val="0"/>
        </w:rPr>
        <w:t>本次数字分类网络只有约 2.65 万参数，优先测量 CPU 是否已满足需求。若 CPU 的批量一延迟足够低，额外使用加速器未必有收益。题一的 CPU 对比也不能直接外推成 NPU 与 GPU 的性能比较。</w:t>
      </w:r>
      <w:r>
        <w:rPr>
          <w:rFonts w:hint="eastAsia"/>
          <w:b w:val="0"/>
          <w:lang w:val="en-US" w:eastAsia="zh-CN"/>
        </w:rPr>
        <w:t xml:space="preserve">     </w:t>
      </w:r>
    </w:p>
    <w:p w14:paraId="33A33D17">
      <w:pPr>
        <w:pStyle w:val="3"/>
        <w:pageBreakBefore/>
      </w:pPr>
      <w:r>
        <w:t>附加题三 自瞄命中率的主要影响因素</w:t>
      </w:r>
    </w:p>
    <w:p w14:paraId="3A150742">
      <w:pPr>
        <w:rPr>
          <w:rFonts w:hint="default" w:ascii="PingFang SC Regular" w:hAnsi="PingFang SC Regular" w:eastAsia="PingFang SC Regular" w:cs="PingFang SC Regular"/>
          <w:highlight w:val="magenta"/>
          <w:lang w:val="en-US" w:eastAsia="zh-CN"/>
        </w:rPr>
      </w:pPr>
      <w:r>
        <w:rPr>
          <w:b w:val="0"/>
        </w:rPr>
        <w:t>在 RoboMaster 竞赛场景中，我</w:t>
      </w:r>
      <w:r>
        <w:rPr>
          <w:rFonts w:hint="eastAsia"/>
          <w:b w:val="0"/>
          <w:lang w:eastAsia="zh-CN"/>
        </w:rPr>
        <w:t>（</w:t>
      </w:r>
      <w:r>
        <w:rPr>
          <w:rFonts w:hint="eastAsia"/>
          <w:b w:val="0"/>
          <w:lang w:val="en-US" w:eastAsia="zh-CN"/>
        </w:rPr>
        <w:t>codex</w:t>
      </w:r>
      <w:r>
        <w:rPr>
          <w:rFonts w:hint="eastAsia"/>
          <w:b w:val="0"/>
          <w:lang w:eastAsia="zh-CN"/>
        </w:rPr>
        <w:t>）</w:t>
      </w:r>
      <w:r>
        <w:rPr>
          <w:b w:val="0"/>
        </w:rPr>
        <w:t>认为最主要的因素是整条链路在弹丸到达目标时刻的综合误差，而不只是图像识别准确率。对运动目标，时间同步、系统延迟和运动预测往往决定误差能否被控制；对静止目标，几何标定与执行机构的系统偏差可能更突出。不存在不考虑工况的唯一首要因素。</w:t>
      </w:r>
      <w:r>
        <w:rPr>
          <w:rFonts w:hint="eastAsia" w:ascii="PingFang SC Regular" w:hAnsi="PingFang SC Regular" w:eastAsia="PingFang SC Regular" w:cs="PingFang SC Regular"/>
          <w:b w:val="0"/>
          <w:highlight w:val="magenta"/>
          <w:lang w:val="en-US" w:eastAsia="zh-CN"/>
        </w:rPr>
        <w:t>简单来说，自喵命中率的迭代更多的要参考实测结果而不只是识别准确率识别预测执行都会有影响对于运动的目标要关注时间的同步与延迟静止的目标则重视发射结构存在的误差</w:t>
      </w:r>
    </w:p>
    <w:p w14:paraId="77DF6447">
      <w:pPr>
        <w:pStyle w:val="4"/>
      </w:pPr>
      <w:r>
        <w:t>为何识别正确仍可能失准</w:t>
      </w:r>
    </w:p>
    <w:p w14:paraId="7E7BE577">
      <w:r>
        <w:rPr>
          <w:b w:val="0"/>
        </w:rPr>
        <w:t>相机记录的是曝光时刻的目标状态。图像传输、算法处理、通信和执行机构响应都需要时间；如果后续仍使用旧时刻的位置，就会产生运动相关偏差。识别框画得准确，只能说明图像中的目标定位较好，不能证明最终时刻的位置估计准确。</w:t>
      </w:r>
    </w:p>
    <w:p w14:paraId="3CBA9D8B">
      <w:r>
        <w:rPr>
          <w:b w:val="0"/>
        </w:rPr>
        <w:t>以简化的匀速横向运动为例，时间误差 Δt 引起的位置误差约为 v×Δt。若速度为 2 m/s、时间偏差为 20 ms，则位置偏差约为 4 cm。这个数值是说明时间误差影响的计算例子，不是本次实测命中数据。</w:t>
      </w:r>
    </w:p>
    <w:p w14:paraId="20EF2D64">
      <w:pPr>
        <w:pStyle w:val="4"/>
      </w:pPr>
      <w:r>
        <w:t>误差需要沿链路定位</w:t>
      </w:r>
    </w:p>
    <w:p w14:paraId="1A17D2DD">
      <w:r>
        <w:rPr>
          <w:b w:val="0"/>
        </w:rPr>
        <w:t>感知端包括曝光模糊、关键点误差、遮挡和错误关联；几何端包括内参、畸变、目标尺寸、相机到云台的外参以及坐标系转换；估计端包括时间戳、滤波滞后和运动模型不匹配；执行端包括机构回差、控制跟随和发射一致性。任何一个环节存在稳定偏差，都可能抵消其他环节的改进。</w:t>
      </w:r>
    </w:p>
    <w:p w14:paraId="5DA5EF16">
      <w:r>
        <w:rPr>
          <w:b w:val="0"/>
        </w:rPr>
        <w:t>距离会放大角度偏差。小角度下，横向误差约等于距离乘角度误差；因此远距离场景尤其需要检查几何与执行的一致性。小陀螺场景中，可见装甲板会切换，若把不同装甲板的观测当成同一物体的连续平移轨迹，预测模型也会失效。</w:t>
      </w:r>
    </w:p>
    <w:p w14:paraId="52990BAF">
      <w:pPr>
        <w:pStyle w:val="4"/>
      </w:pPr>
      <w:r>
        <w:t>验证思路</w:t>
      </w:r>
    </w:p>
    <w:p w14:paraId="5E24A7FD">
      <w:r>
        <w:rPr>
          <w:b w:val="0"/>
        </w:rPr>
        <w:t>先用静止目标检查系统性偏差，再用匀速目标检查时间与预测，最后评估旋转、遮挡和机体运动等复杂工况。记录曝光时间、处理耗时、估计状态和执行反馈，将误差按距离与运动类型分组，避免只展示总体平均值。</w:t>
      </w:r>
    </w:p>
    <w:p w14:paraId="0CAA9BA5">
      <w:r>
        <w:rPr>
          <w:b w:val="0"/>
        </w:rPr>
        <w:t>本考核 A 题没有独立位置真值，后续 PnP 观测仍含噪声。因此“预测值与后续观测值接近”只能支持预测的一致性，不能直接换算成真实命中率。题面以 0.25 s 作为近似预测间隔，也不意味着所有工况的延迟都恒定为该值。</w:t>
      </w:r>
    </w:p>
    <w:p w14:paraId="7F19F5BB">
      <w:r>
        <w:rPr>
          <w:b w:val="0"/>
        </w:rPr>
        <w:t>改进顺序应由实测误差占比决定：先修正时间和坐标系等系统性问题，再处理感知与预测的不确定性，并检查执行端。更复杂的模型不能补偿错误的时间戳或外参。</w:t>
      </w:r>
    </w:p>
    <w:p w14:paraId="77F24A24">
      <w:pPr>
        <w:pStyle w:val="3"/>
        <w:pageBreakBefore/>
      </w:pPr>
      <w:r>
        <w:t>参考资料</w:t>
      </w:r>
    </w:p>
    <w:p w14:paraId="38E131FE">
      <w:r>
        <w:rPr>
          <w:b w:val="0"/>
        </w:rPr>
        <w:t>以下为数据、框架与开源项目的一手资料。访问日期为 2026 年 10 月 20 日。文中的分析与实验设计独立表述；项目性能宣传不作为本机实验结果。</w:t>
      </w:r>
    </w:p>
    <w:p w14:paraId="3DD621A0">
      <w:r>
        <w:rPr>
          <w:b w:val="0"/>
        </w:rPr>
        <w:t>[1] 公开装甲板数字数据集及标签说明</w:t>
      </w:r>
    </w:p>
    <w:p w14:paraId="2D858EA0">
      <w:pPr>
        <w:spacing w:after="160"/>
      </w:pPr>
      <w:r>
        <w:rPr>
          <w:b w:val="0"/>
          <w:sz w:val="18"/>
        </w:rPr>
        <w:t>https://github.com/baiyeweiguang/Number-Classifier-for-RoboMaster</w:t>
      </w:r>
    </w:p>
    <w:p w14:paraId="5E2DACF4">
      <w:r>
        <w:rPr>
          <w:b w:val="0"/>
        </w:rPr>
        <w:t>[2] PyTorch 官方分类训练教程</w:t>
      </w:r>
    </w:p>
    <w:p w14:paraId="78D69FBD">
      <w:pPr>
        <w:spacing w:after="160"/>
      </w:pPr>
      <w:r>
        <w:rPr>
          <w:b w:val="0"/>
          <w:sz w:val="18"/>
        </w:rPr>
        <w:t>https://docs.pytorch.org/tutorials/beginner/blitz/cifar10_tutorial.html</w:t>
      </w:r>
    </w:p>
    <w:p w14:paraId="0EF094BF">
      <w:r>
        <w:rPr>
          <w:b w:val="0"/>
        </w:rPr>
        <w:t>[3] ONNX 模型与计算图概念</w:t>
      </w:r>
    </w:p>
    <w:p w14:paraId="37B57D51">
      <w:pPr>
        <w:spacing w:after="160"/>
      </w:pPr>
      <w:r>
        <w:rPr>
          <w:b w:val="0"/>
          <w:sz w:val="18"/>
        </w:rPr>
        <w:t>https://onnx.ai/onnx/intro/concepts.html</w:t>
      </w:r>
    </w:p>
    <w:p w14:paraId="0F87A109">
      <w:r>
        <w:rPr>
          <w:b w:val="0"/>
        </w:rPr>
        <w:t>[4] ONNX Runtime Python 接口</w:t>
      </w:r>
    </w:p>
    <w:p w14:paraId="2A1EE1D0">
      <w:pPr>
        <w:spacing w:after="160"/>
      </w:pPr>
      <w:r>
        <w:rPr>
          <w:b w:val="0"/>
          <w:sz w:val="18"/>
        </w:rPr>
        <w:t>https://onnxruntime.ai/docs/get-started/with-python.html</w:t>
      </w:r>
    </w:p>
    <w:p w14:paraId="46C990FE">
      <w:r>
        <w:rPr>
          <w:b w:val="0"/>
        </w:rPr>
        <w:t>[5] ONNX Runtime 线程配置</w:t>
      </w:r>
    </w:p>
    <w:p w14:paraId="49118D97">
      <w:pPr>
        <w:spacing w:after="160"/>
      </w:pPr>
      <w:r>
        <w:rPr>
          <w:b w:val="0"/>
          <w:sz w:val="18"/>
        </w:rPr>
        <w:t>https://onnxruntime.ai/docs/performance/tune-performance/threading.html</w:t>
      </w:r>
    </w:p>
    <w:p w14:paraId="38367557">
      <w:r>
        <w:rPr>
          <w:b w:val="0"/>
        </w:rPr>
        <w:t>[6] Arm CPU 架构说明</w:t>
      </w:r>
    </w:p>
    <w:p w14:paraId="52354D26">
      <w:pPr>
        <w:spacing w:after="160"/>
      </w:pPr>
      <w:r>
        <w:rPr>
          <w:b w:val="0"/>
          <w:sz w:val="18"/>
        </w:rPr>
        <w:t>https://www.arm.com/architecture/cpu</w:t>
      </w:r>
    </w:p>
    <w:p w14:paraId="245CE3A1">
      <w:r>
        <w:rPr>
          <w:b w:val="0"/>
        </w:rPr>
        <w:t>[7] Intel 64 和 IA 32 架构开发手册</w:t>
      </w:r>
    </w:p>
    <w:p w14:paraId="1C0E49BD">
      <w:pPr>
        <w:spacing w:after="160"/>
      </w:pPr>
      <w:r>
        <w:rPr>
          <w:b w:val="0"/>
          <w:sz w:val="18"/>
        </w:rPr>
        <w:t>https://www.intel.com/content/www/us/en/developer/articles/technical/intel-sdm.html</w:t>
      </w:r>
    </w:p>
    <w:p w14:paraId="605D0A0E">
      <w:r>
        <w:rPr>
          <w:b w:val="0"/>
        </w:rPr>
        <w:t>[8] Arm 异构 AI 计算平台说明</w:t>
      </w:r>
    </w:p>
    <w:p w14:paraId="17184171">
      <w:pPr>
        <w:spacing w:after="160"/>
      </w:pPr>
      <w:r>
        <w:rPr>
          <w:b w:val="0"/>
          <w:sz w:val="18"/>
        </w:rPr>
        <w:t>https://www.arm.com/markets/artificial-intelligence/technologies</w:t>
      </w:r>
    </w:p>
    <w:sectPr>
      <w:footerReference r:id="rId5" w:type="default"/>
      <w:pgSz w:w="11906" w:h="16838"/>
      <w:pgMar w:top="1077"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Songti SC">
    <w:panose1 w:val="02010800040101010101"/>
    <w:charset w:val="86"/>
    <w:family w:val="auto"/>
    <w:pitch w:val="default"/>
    <w:sig w:usb0="00000001" w:usb1="080F0000" w:usb2="00000000" w:usb3="00000000" w:csb0="00040000" w:csb1="00000000"/>
  </w:font>
  <w:font w:name="Heiti SC">
    <w:panose1 w:val="00000000000000000000"/>
    <w:charset w:val="86"/>
    <w:family w:val="auto"/>
    <w:pitch w:val="default"/>
    <w:sig w:usb0="8000002F" w:usb1="0800004A" w:usb2="00000000" w:usb3="00000000" w:csb0="203E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Menlo">
    <w:panose1 w:val="020B0609030804020204"/>
    <w:charset w:val="00"/>
    <w:family w:val="auto"/>
    <w:pitch w:val="default"/>
    <w:sig w:usb0="E60022FF" w:usb1="D200F9FB" w:usb2="02000028" w:usb3="00000000" w:csb0="600001DF" w:csb1="FFDF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HK Regular">
    <w:panose1 w:val="020B0400000000000000"/>
    <w:charset w:val="88"/>
    <w:family w:val="auto"/>
    <w:pitch w:val="default"/>
    <w:sig w:usb0="A00002FF" w:usb1="7ACFFDFB" w:usb2="00000017" w:usb3="00000000" w:csb0="00100001" w:csb1="00000000"/>
  </w:font>
  <w:font w:name="Heiti TC Light">
    <w:panose1 w:val="00000000000000000000"/>
    <w:charset w:val="86"/>
    <w:family w:val="auto"/>
    <w:pitch w:val="default"/>
    <w:sig w:usb0="8000002F" w:usb1="0800004A" w:usb2="00000000" w:usb3="00000000" w:csb0="203E0000" w:csb1="00000000"/>
  </w:font>
  <w:font w:name="Heiti SC Light">
    <w:panose1 w:val="00000000000000000000"/>
    <w:charset w:val="86"/>
    <w:family w:val="auto"/>
    <w:pitch w:val="default"/>
    <w:sig w:usb0="8000002F" w:usb1="0800004A" w:usb2="00000000" w:usb3="00000000" w:csb0="203E0000" w:csb1="00000000"/>
  </w:font>
  <w:font w:name="PingFang TC Regular">
    <w:panose1 w:val="020B0400000000000000"/>
    <w:charset w:val="88"/>
    <w:family w:val="auto"/>
    <w:pitch w:val="default"/>
    <w:sig w:usb0="A00002FF" w:usb1="7ACFFDFB" w:usb2="00000017" w:usb3="00000000" w:csb0="00100001" w:csb1="00000000"/>
  </w:font>
  <w:font w:name="PingFang MO Regular">
    <w:panose1 w:val="020B0400000000000000"/>
    <w:charset w:val="88"/>
    <w:family w:val="auto"/>
    <w:pitch w:val="default"/>
    <w:sig w:usb0="A00002FF" w:usb1="7ACFFDFB" w:usb2="00000017" w:usb3="00000000" w:csb0="00100001" w:csb1="00000000"/>
  </w:font>
  <w:font w:name="PingFang SC Regular">
    <w:panose1 w:val="020B0400000000000000"/>
    <w:charset w:val="86"/>
    <w:family w:val="auto"/>
    <w:pitch w:val="default"/>
    <w:sig w:usb0="A00002FF" w:usb1="7ACFFDFB" w:usb2="00000017" w:usb3="00000000" w:csb0="00040001" w:csb1="00000000"/>
  </w:font>
  <w:font w:name="PingFang HK Ultralight">
    <w:panose1 w:val="020B0400000000000000"/>
    <w:charset w:val="88"/>
    <w:family w:val="auto"/>
    <w:pitch w:val="default"/>
    <w:sig w:usb0="A00002FF" w:usb1="7ACFFDFB" w:usb2="00000017" w:usb3="00000000" w:csb0="00100001" w:csb1="00000000"/>
  </w:font>
  <w:font w:name="Songti TC Regular">
    <w:panose1 w:val="02010600040101010101"/>
    <w:charset w:val="86"/>
    <w:family w:val="auto"/>
    <w:pitch w:val="default"/>
    <w:sig w:usb0="00000287" w:usb1="080F0000" w:usb2="00000000" w:usb3="00000000" w:csb0="0004009F" w:csb1="DFD70000"/>
  </w:font>
  <w:font w:name="Hannotate TC Regular">
    <w:panose1 w:val="03000500000000000000"/>
    <w:charset w:val="86"/>
    <w:family w:val="auto"/>
    <w:pitch w:val="default"/>
    <w:sig w:usb0="A00002FF" w:usb1="7ACF7CFB" w:usb2="00000016" w:usb3="00000000" w:csb0="00040001" w:csb1="00000000"/>
  </w:font>
  <w:font w:name="Hannotate SC Regular">
    <w:panose1 w:val="03000500000000000000"/>
    <w:charset w:val="86"/>
    <w:family w:val="auto"/>
    <w:pitch w:val="default"/>
    <w:sig w:usb0="A00002FF" w:usb1="7ACF7CFB" w:usb2="00000016" w:usb3="00000000" w:csb0="00040001" w:csb1="00000000"/>
  </w:font>
  <w:font w:name="Songti SC Regular">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5BB93">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3FF21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320" w:lineRule="exact"/>
    </w:pPr>
    <w:rPr>
      <w:rFonts w:ascii="Songti SC" w:hAnsi="Songti SC" w:eastAsia="Songti SC" w:cstheme="minorBidi"/>
      <w:color w:val="000000"/>
      <w:sz w:val="22"/>
      <w:szCs w:val="22"/>
      <w:lang w:val="en-US" w:eastAsia="en-US" w:bidi="ar-SA"/>
    </w:rPr>
  </w:style>
  <w:style w:type="paragraph" w:styleId="3">
    <w:name w:val="heading 1"/>
    <w:basedOn w:val="1"/>
    <w:next w:val="1"/>
    <w:link w:val="139"/>
    <w:qFormat/>
    <w:uiPriority w:val="9"/>
    <w:pPr>
      <w:keepNext/>
      <w:keepLines/>
      <w:spacing w:before="200" w:after="120"/>
      <w:outlineLvl w:val="0"/>
    </w:pPr>
    <w:rPr>
      <w:rFonts w:ascii="Heiti SC" w:hAnsi="Heiti SC" w:eastAsia="Heiti SC"/>
      <w:b/>
      <w:bCs/>
      <w:color w:val="000000"/>
      <w:sz w:val="30"/>
      <w:szCs w:val="28"/>
    </w:rPr>
  </w:style>
  <w:style w:type="paragraph" w:styleId="4">
    <w:name w:val="heading 2"/>
    <w:basedOn w:val="1"/>
    <w:next w:val="1"/>
    <w:link w:val="140"/>
    <w:unhideWhenUsed/>
    <w:qFormat/>
    <w:uiPriority w:val="9"/>
    <w:pPr>
      <w:keepNext/>
      <w:keepLines/>
      <w:spacing w:before="200" w:after="120"/>
      <w:outlineLvl w:val="1"/>
    </w:pPr>
    <w:rPr>
      <w:rFonts w:ascii="Heiti SC" w:hAnsi="Heiti SC" w:eastAsia="Heiti SC"/>
      <w:b/>
      <w:bCs/>
      <w:color w:val="000000"/>
      <w:sz w:val="24"/>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pPr>
      <w:spacing w:before="200" w:after="120"/>
    </w:pPr>
    <w:rPr>
      <w:rFonts w:ascii="Heiti SC" w:hAnsi="Heiti SC" w:eastAsia="Heiti SC"/>
      <w:iCs/>
      <w:color w:val="000000"/>
      <w:spacing w:val="15"/>
      <w:sz w:val="22"/>
      <w:szCs w:val="24"/>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spacing w:before="0" w:after="120" w:line="240" w:lineRule="auto"/>
      <w:contextualSpacing/>
    </w:pPr>
    <w:rPr>
      <w:rFonts w:ascii="Heiti SC" w:hAnsi="Heiti SC" w:eastAsia="Heiti SC"/>
      <w:b/>
      <w:color w:val="000000"/>
      <w:spacing w:val="5"/>
      <w:kern w:val="28"/>
      <w:sz w:val="4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67</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Anna</dc:creator>
  <dc:description>generated by python-docx</dc:description>
  <cp:lastModifiedBy>Anna</cp:lastModifiedBy>
  <dcterms:modified xsi:type="dcterms:W3CDTF">2026-10-20T22:36:10Z</dcterms:modified>
  <dc:title>视觉组招新考核附加题</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1E73C77BF6DE90B35A7CD76A345614BE_42</vt:lpwstr>
  </property>
</Properties>
</file>