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xi5x5jiac2b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</w:t>
      </w:r>
      <w:r w:rsidDel="00000000" w:rsidR="00000000" w:rsidRPr="00000000">
        <w:rPr>
          <w:b w:val="1"/>
          <w:sz w:val="72"/>
          <w:szCs w:val="7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-1</w:t>
      </w:r>
      <w:r w:rsidDel="00000000" w:rsidR="00000000" w:rsidRPr="00000000">
        <w:rPr>
          <w:sz w:val="48"/>
          <w:szCs w:val="4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di definire i dettagli organizzativi riguardanti la presentazione del 21/12/2022 (discussione della consegna intermedia) e di discutere le variazioni di schedule della fase di Object Design dovuta alla presenza dell’esame di Programmazione Distribuita.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Presentazione della discussione della consegna intermedia;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Organizzazione dei task di Object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7lcfmf6aui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18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scelta dei presentatori;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contenuti della presentazione;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periodo d’inattività relativo all’esame di Programmazione Distribuita.</w:t>
      </w:r>
    </w:p>
    <w:p w:rsidR="00000000" w:rsidDel="00000000" w:rsidP="00000000" w:rsidRDefault="00000000" w:rsidRPr="00000000" w14:paraId="00000020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(0 minuti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3"/>
      <w:bookmarkEnd w:id="3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4"/>
      <w:bookmarkEnd w:id="4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vhn7OekJxQdBpDJWVOQyPrXj2A==">AMUW2mUR3wxdGPupD0Ouy/L9STb4TJ7lbm/acJctcCNuIy49aBG4HCS1x5ibXttfhyjkkMXsgyRFEuc8r6MIUZoT8GipuvOXGgizT/QCnhz6DSo81CEDn0kviL1SvvZuAAcS/JkhNQoKhqmLiPuFY/ZnYeT2cxYLts+89m9X/et2IcslyWmIB1x0LYMZjKD60V8DjVPcIsh/O+ciHpK9eHd9995Ij0Xkzw==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