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B3E8C">
      <w:pPr>
        <w:pStyle w:val="2"/>
        <w:bidi w:val="0"/>
        <w:jc w:val="center"/>
        <w:rPr>
          <w:rFonts w:hint="eastAsia"/>
          <w:color w:val="auto"/>
          <w:lang w:val="en-US" w:eastAsia="zh-CN"/>
        </w:rPr>
      </w:pPr>
      <w:r>
        <w:rPr>
          <w:rFonts w:hint="eastAsia"/>
          <w:color w:val="auto"/>
          <w:lang w:val="en-US" w:eastAsia="zh-CN"/>
        </w:rPr>
        <w:t>Final Project</w:t>
      </w:r>
    </w:p>
    <w:p w14:paraId="57E3E4E1">
      <w:pPr>
        <w:jc w:val="right"/>
        <w:rPr>
          <w:rFonts w:hint="default"/>
          <w:b/>
          <w:bCs/>
          <w:i w:val="0"/>
          <w:iCs w:val="0"/>
          <w:color w:val="808080" w:themeColor="text1" w:themeTint="80"/>
          <w:sz w:val="20"/>
          <w:szCs w:val="20"/>
          <w:u w:val="single"/>
          <w:lang w:val="en-US" w:eastAsia="zh-CN"/>
          <w14:textFill>
            <w14:solidFill>
              <w14:schemeClr w14:val="tx1">
                <w14:lumMod w14:val="50000"/>
                <w14:lumOff w14:val="50000"/>
              </w14:schemeClr>
            </w14:solidFill>
          </w14:textFill>
        </w:rPr>
      </w:pPr>
      <w:r>
        <w:rPr>
          <w:rFonts w:hint="eastAsia"/>
          <w:b/>
          <w:bCs/>
          <w:i w:val="0"/>
          <w:iCs w:val="0"/>
          <w:color w:val="808080" w:themeColor="text1" w:themeTint="80"/>
          <w:sz w:val="20"/>
          <w:szCs w:val="20"/>
          <w:u w:val="single"/>
          <w:lang w:val="en-US" w:eastAsia="zh-CN"/>
          <w14:textFill>
            <w14:solidFill>
              <w14:schemeClr w14:val="tx1">
                <w14:lumMod w14:val="50000"/>
                <w14:lumOff w14:val="50000"/>
              </w14:schemeClr>
            </w14:solidFill>
          </w14:textFill>
        </w:rPr>
        <w:t>Annastasia Huang  NetID:qingyuh2</w:t>
      </w:r>
    </w:p>
    <w:p w14:paraId="2235EFEA">
      <w:pPr>
        <w:pStyle w:val="3"/>
        <w:bidi w:val="0"/>
        <w:rPr>
          <w:rFonts w:hint="default"/>
          <w:color w:val="auto"/>
          <w:lang w:val="en-US" w:eastAsia="zh-CN"/>
        </w:rPr>
      </w:pPr>
      <w:r>
        <w:rPr>
          <w:rFonts w:hint="eastAsia"/>
          <w:color w:val="auto"/>
          <w:lang w:val="en-US" w:eastAsia="zh-CN"/>
        </w:rPr>
        <w:t>Part 1</w:t>
      </w:r>
    </w:p>
    <w:p w14:paraId="17EA002E">
      <w:pPr>
        <w:pStyle w:val="34"/>
        <w:keepNext w:val="0"/>
        <w:keepLines w:val="0"/>
        <w:widowControl/>
        <w:suppressLineNumbers w:val="0"/>
        <w:spacing w:before="0" w:beforeAutospacing="1" w:after="0" w:afterAutospacing="1"/>
        <w:ind w:left="0" w:right="0"/>
        <w:rPr>
          <w:color w:val="auto"/>
          <w:sz w:val="20"/>
          <w:szCs w:val="20"/>
        </w:rPr>
      </w:pPr>
      <w:r>
        <w:rPr>
          <w:rFonts w:hint="eastAsia" w:eastAsia="宋体"/>
          <w:color w:val="auto"/>
          <w:sz w:val="20"/>
          <w:szCs w:val="20"/>
          <w:lang w:val="en-US" w:eastAsia="zh-CN"/>
        </w:rPr>
        <w:t>T</w:t>
      </w:r>
      <w:r>
        <w:rPr>
          <w:color w:val="auto"/>
          <w:sz w:val="20"/>
          <w:szCs w:val="20"/>
        </w:rPr>
        <w:t xml:space="preserve">he three portfolios </w:t>
      </w:r>
      <w:r>
        <w:rPr>
          <w:rFonts w:hint="eastAsia" w:eastAsia="宋体"/>
          <w:color w:val="auto"/>
          <w:sz w:val="20"/>
          <w:szCs w:val="20"/>
          <w:lang w:val="en-US" w:eastAsia="zh-CN"/>
        </w:rPr>
        <w:t>had</w:t>
      </w:r>
      <w:r>
        <w:rPr>
          <w:color w:val="auto"/>
          <w:sz w:val="20"/>
          <w:szCs w:val="20"/>
        </w:rPr>
        <w:t xml:space="preserve"> mixed performance relative t</w:t>
      </w:r>
      <w:bookmarkStart w:id="0" w:name="_GoBack"/>
      <w:bookmarkEnd w:id="0"/>
      <w:r>
        <w:rPr>
          <w:color w:val="auto"/>
          <w:sz w:val="20"/>
          <w:szCs w:val="20"/>
        </w:rPr>
        <w:t xml:space="preserve">o the market's 26.14% return. While Portfolio C outperformed the market with superior stock selection, Portfolios A and B lagged despite similar market exposure. </w:t>
      </w:r>
    </w:p>
    <w:p w14:paraId="3E19A853">
      <w:pPr>
        <w:rPr>
          <w:rFonts w:hint="eastAsia" w:eastAsia="宋体"/>
          <w:color w:val="auto"/>
          <w:lang w:eastAsia="zh-CN"/>
        </w:rPr>
      </w:pPr>
      <w:r>
        <w:rPr>
          <w:rFonts w:hint="eastAsia" w:eastAsia="宋体"/>
          <w:color w:val="auto"/>
          <w:lang w:eastAsia="zh-CN"/>
        </w:rPr>
        <w:drawing>
          <wp:inline distT="0" distB="0" distL="114300" distR="114300">
            <wp:extent cx="4445000" cy="1282700"/>
            <wp:effectExtent l="0" t="0" r="0" b="12700"/>
            <wp:docPr id="15" name="Picture 15" descr="Screenshot 2025-04-19 at 01.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4-19 at 01.42.23"/>
                    <pic:cNvPicPr>
                      <a:picLocks noChangeAspect="1"/>
                    </pic:cNvPicPr>
                  </pic:nvPicPr>
                  <pic:blipFill>
                    <a:blip r:embed="rId6"/>
                    <a:stretch>
                      <a:fillRect/>
                    </a:stretch>
                  </pic:blipFill>
                  <pic:spPr>
                    <a:xfrm>
                      <a:off x="0" y="0"/>
                      <a:ext cx="4445000" cy="1282700"/>
                    </a:xfrm>
                    <a:prstGeom prst="rect">
                      <a:avLst/>
                    </a:prstGeom>
                  </pic:spPr>
                </pic:pic>
              </a:graphicData>
            </a:graphic>
          </wp:inline>
        </w:drawing>
      </w:r>
      <w:r>
        <w:rPr>
          <w:rFonts w:hint="eastAsia" w:eastAsia="宋体"/>
          <w:color w:val="auto"/>
          <w:lang w:eastAsia="zh-CN"/>
        </w:rPr>
        <w:drawing>
          <wp:inline distT="0" distB="0" distL="114300" distR="114300">
            <wp:extent cx="5481955" cy="768985"/>
            <wp:effectExtent l="0" t="0" r="4445" b="18415"/>
            <wp:docPr id="16" name="Picture 16" descr="Screenshot 2025-04-19 at 01.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4-19 at 01.42.30"/>
                    <pic:cNvPicPr>
                      <a:picLocks noChangeAspect="1"/>
                    </pic:cNvPicPr>
                  </pic:nvPicPr>
                  <pic:blipFill>
                    <a:blip r:embed="rId7"/>
                    <a:stretch>
                      <a:fillRect/>
                    </a:stretch>
                  </pic:blipFill>
                  <pic:spPr>
                    <a:xfrm>
                      <a:off x="0" y="0"/>
                      <a:ext cx="5481955" cy="768985"/>
                    </a:xfrm>
                    <a:prstGeom prst="rect">
                      <a:avLst/>
                    </a:prstGeom>
                  </pic:spPr>
                </pic:pic>
              </a:graphicData>
            </a:graphic>
          </wp:inline>
        </w:drawing>
      </w:r>
    </w:p>
    <w:p w14:paraId="5D81268B">
      <w:pPr>
        <w:keepNext w:val="0"/>
        <w:keepLines w:val="0"/>
        <w:widowControl/>
        <w:numPr>
          <w:ilvl w:val="0"/>
          <w:numId w:val="7"/>
        </w:numPr>
        <w:suppressLineNumbers w:val="0"/>
        <w:spacing w:before="0" w:beforeAutospacing="1" w:after="0" w:afterAutospacing="1"/>
        <w:ind w:left="720" w:hanging="360"/>
        <w:rPr>
          <w:color w:val="auto"/>
          <w:sz w:val="20"/>
          <w:szCs w:val="20"/>
        </w:rPr>
      </w:pPr>
      <w:r>
        <w:rPr>
          <w:color w:val="auto"/>
          <w:sz w:val="20"/>
          <w:szCs w:val="20"/>
        </w:rPr>
        <w:t xml:space="preserve">All stocks show </w:t>
      </w:r>
      <w:r>
        <w:rPr>
          <w:rStyle w:val="35"/>
          <w:color w:val="auto"/>
          <w:sz w:val="20"/>
          <w:szCs w:val="20"/>
        </w:rPr>
        <w:t>betas above 1</w:t>
      </w:r>
      <w:r>
        <w:rPr>
          <w:color w:val="auto"/>
          <w:sz w:val="20"/>
          <w:szCs w:val="20"/>
        </w:rPr>
        <w:t>, indicating higher volatility than the market</w:t>
      </w:r>
    </w:p>
    <w:p w14:paraId="0757BE9F">
      <w:pPr>
        <w:keepNext w:val="0"/>
        <w:keepLines w:val="0"/>
        <w:widowControl/>
        <w:numPr>
          <w:ilvl w:val="0"/>
          <w:numId w:val="7"/>
        </w:numPr>
        <w:suppressLineNumbers w:val="0"/>
        <w:spacing w:before="0" w:beforeAutospacing="1" w:after="0" w:afterAutospacing="1"/>
        <w:ind w:left="720" w:hanging="360"/>
        <w:rPr>
          <w:color w:val="auto"/>
          <w:sz w:val="20"/>
          <w:szCs w:val="20"/>
        </w:rPr>
      </w:pPr>
      <w:r>
        <w:rPr>
          <w:rStyle w:val="35"/>
          <w:color w:val="auto"/>
          <w:sz w:val="20"/>
          <w:szCs w:val="20"/>
        </w:rPr>
        <w:t>R² values between 0.34-0.53</w:t>
      </w:r>
      <w:r>
        <w:rPr>
          <w:color w:val="auto"/>
          <w:sz w:val="20"/>
          <w:szCs w:val="20"/>
        </w:rPr>
        <w:t xml:space="preserve"> suggest CAPM explains only one-third to one-half of each stock's return variability</w:t>
      </w:r>
    </w:p>
    <w:p w14:paraId="608354C8">
      <w:pPr>
        <w:keepNext w:val="0"/>
        <w:keepLines w:val="0"/>
        <w:widowControl/>
        <w:numPr>
          <w:ilvl w:val="0"/>
          <w:numId w:val="7"/>
        </w:numPr>
        <w:suppressLineNumbers w:val="0"/>
        <w:spacing w:before="0" w:beforeAutospacing="1" w:after="0" w:afterAutospacing="1"/>
        <w:ind w:left="720" w:hanging="360"/>
        <w:rPr>
          <w:color w:val="auto"/>
          <w:sz w:val="20"/>
          <w:szCs w:val="20"/>
        </w:rPr>
      </w:pPr>
      <w:r>
        <w:rPr>
          <w:color w:val="auto"/>
          <w:sz w:val="20"/>
          <w:szCs w:val="20"/>
        </w:rPr>
        <w:t xml:space="preserve">All stocks exhibited </w:t>
      </w:r>
      <w:r>
        <w:rPr>
          <w:rStyle w:val="35"/>
          <w:color w:val="auto"/>
          <w:sz w:val="20"/>
          <w:szCs w:val="20"/>
        </w:rPr>
        <w:t>positive alpha</w:t>
      </w:r>
      <w:r>
        <w:rPr>
          <w:color w:val="auto"/>
          <w:sz w:val="20"/>
          <w:szCs w:val="20"/>
        </w:rPr>
        <w:t xml:space="preserve"> during the training period</w:t>
      </w:r>
    </w:p>
    <w:p w14:paraId="2D84A15E">
      <w:pPr>
        <w:pStyle w:val="34"/>
        <w:keepNext w:val="0"/>
        <w:keepLines w:val="0"/>
        <w:widowControl/>
        <w:suppressLineNumbers w:val="0"/>
        <w:spacing w:before="0" w:beforeAutospacing="1" w:after="0" w:afterAutospacing="1"/>
        <w:ind w:left="0" w:right="0"/>
        <w:rPr>
          <w:rFonts w:hint="eastAsia" w:eastAsia="宋体"/>
          <w:color w:val="auto"/>
          <w:sz w:val="20"/>
          <w:szCs w:val="20"/>
          <w:lang w:eastAsia="zh-CN"/>
        </w:rPr>
      </w:pPr>
      <w:r>
        <w:rPr>
          <w:rFonts w:hint="eastAsia" w:eastAsia="宋体"/>
          <w:color w:val="auto"/>
          <w:sz w:val="20"/>
          <w:szCs w:val="20"/>
          <w:lang w:eastAsia="zh-CN"/>
        </w:rPr>
        <w:drawing>
          <wp:inline distT="0" distB="0" distL="114300" distR="114300">
            <wp:extent cx="5479415" cy="5217795"/>
            <wp:effectExtent l="0" t="0" r="6985" b="14605"/>
            <wp:docPr id="14" name="Picture 14" descr="Screenshot 2025-04-19 at 01.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4-19 at 01.38.08"/>
                    <pic:cNvPicPr>
                      <a:picLocks noChangeAspect="1"/>
                    </pic:cNvPicPr>
                  </pic:nvPicPr>
                  <pic:blipFill>
                    <a:blip r:embed="rId8"/>
                    <a:stretch>
                      <a:fillRect/>
                    </a:stretch>
                  </pic:blipFill>
                  <pic:spPr>
                    <a:xfrm>
                      <a:off x="0" y="0"/>
                      <a:ext cx="5479415" cy="5217795"/>
                    </a:xfrm>
                    <a:prstGeom prst="rect">
                      <a:avLst/>
                    </a:prstGeom>
                  </pic:spPr>
                </pic:pic>
              </a:graphicData>
            </a:graphic>
          </wp:inline>
        </w:drawing>
      </w:r>
    </w:p>
    <w:p w14:paraId="4E420BD9">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In Part 1, I used SPY as the market proxy and ran a CAPM regression on each stock’s daily excess returns through December 29, 2023. The fitted betas show that the tech names tended to move more than the market—AAPL at 1.10, MSFT at 1.17, AMZN at 1.53, GOOGL at 1.38 and META at 1.77—while R² values around 0.35–0.53 tell us that a large share of each stock’s swings comes from idiosyncratic factors.</w:t>
      </w:r>
    </w:p>
    <w:p w14:paraId="768B8162">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When I applied those betas to the actual holding‐period returns (through spring 2025), the total portfolio returned 20.47%. The CAPM systematic contribution—beta times SPY’s 26.14% gain—was 24.93%, but the total came in lower because idiosyncratic returns dragged the portfolio down by –4.46%. In other words, the group of stocks moved in line with the market to earn nearly 25%, but stock‐specific moves wiped out about four and a half points. Volatility attribution echoes that story: systematic risk accounted for virtually all of the total 0.709% daily volatility, while idiosyncratic risk shaved off just –0.0135% of that number.</w:t>
      </w:r>
    </w:p>
    <w:p w14:paraId="78728801">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Breaking it into sub‐portfolios, A underperformed the market by a wide margin. Its beta of 0.97 implied a 25.29% systematic return, but the actual 13.66% outcome left an idiosyncratic hole of –11.63%. Portfolio B fared slightly better: its 0.92 beta implied 24.07% market exposure, yet it only gained 20.35%, so its stock‐specific returns were –3.72%. By contrast, Portfolio C outperformed its 0.97 beta (25.43% systematic) by delivering a total of 28.12%, so idiosyncratic added +2.68%.</w:t>
      </w:r>
    </w:p>
    <w:p w14:paraId="121ED88A">
      <w:pPr>
        <w:pStyle w:val="34"/>
        <w:keepNext w:val="0"/>
        <w:keepLines w:val="0"/>
        <w:widowControl/>
        <w:suppressLineNumbers w:val="0"/>
        <w:spacing w:before="0" w:beforeAutospacing="1" w:after="0" w:afterAutospacing="1"/>
        <w:ind w:left="0" w:right="0"/>
        <w:rPr>
          <w:color w:val="auto"/>
          <w:sz w:val="20"/>
          <w:szCs w:val="20"/>
        </w:rPr>
      </w:pPr>
    </w:p>
    <w:p w14:paraId="5E1F660F">
      <w:pPr>
        <w:pStyle w:val="34"/>
        <w:keepNext w:val="0"/>
        <w:keepLines w:val="0"/>
        <w:widowControl/>
        <w:suppressLineNumbers w:val="0"/>
        <w:spacing w:before="0" w:beforeAutospacing="1" w:after="0" w:afterAutospacing="1"/>
        <w:ind w:left="0" w:right="0"/>
        <w:rPr>
          <w:rFonts w:hint="eastAsia" w:eastAsia="宋体"/>
          <w:color w:val="auto"/>
          <w:sz w:val="20"/>
          <w:szCs w:val="20"/>
          <w:lang w:val="en-US" w:eastAsia="zh-CN"/>
        </w:rPr>
      </w:pPr>
    </w:p>
    <w:p w14:paraId="41976546">
      <w:pPr>
        <w:pStyle w:val="3"/>
        <w:keepNext w:val="0"/>
        <w:keepLines w:val="0"/>
        <w:widowControl/>
        <w:suppressLineNumbers w:val="0"/>
        <w:rPr>
          <w:rFonts w:hint="eastAsia"/>
          <w:color w:val="auto"/>
          <w:lang w:val="en-US" w:eastAsia="zh-CN"/>
        </w:rPr>
      </w:pPr>
    </w:p>
    <w:p w14:paraId="302CBD68">
      <w:pPr>
        <w:pStyle w:val="3"/>
        <w:keepNext w:val="0"/>
        <w:keepLines w:val="0"/>
        <w:widowControl/>
        <w:suppressLineNumbers w:val="0"/>
        <w:rPr>
          <w:rFonts w:hint="eastAsia"/>
          <w:color w:val="auto"/>
          <w:lang w:val="en-US" w:eastAsia="zh-CN"/>
        </w:rPr>
      </w:pPr>
    </w:p>
    <w:p w14:paraId="4DDE6C6A">
      <w:pPr>
        <w:pStyle w:val="3"/>
        <w:keepNext w:val="0"/>
        <w:keepLines w:val="0"/>
        <w:widowControl/>
        <w:suppressLineNumbers w:val="0"/>
        <w:rPr>
          <w:rFonts w:hint="eastAsia"/>
          <w:color w:val="auto"/>
          <w:lang w:val="en-US" w:eastAsia="zh-CN"/>
        </w:rPr>
      </w:pPr>
    </w:p>
    <w:p w14:paraId="1F08AB24">
      <w:pPr>
        <w:pStyle w:val="3"/>
        <w:keepNext w:val="0"/>
        <w:keepLines w:val="0"/>
        <w:widowControl/>
        <w:suppressLineNumbers w:val="0"/>
        <w:rPr>
          <w:rFonts w:hint="eastAsia"/>
          <w:color w:val="auto"/>
          <w:lang w:val="en-US" w:eastAsia="zh-CN"/>
        </w:rPr>
      </w:pPr>
    </w:p>
    <w:p w14:paraId="74E95FCB">
      <w:pPr>
        <w:pStyle w:val="3"/>
        <w:keepNext w:val="0"/>
        <w:keepLines w:val="0"/>
        <w:widowControl/>
        <w:suppressLineNumbers w:val="0"/>
        <w:rPr>
          <w:rFonts w:hint="eastAsia"/>
          <w:color w:val="auto"/>
          <w:lang w:val="en-US" w:eastAsia="zh-CN"/>
        </w:rPr>
      </w:pPr>
    </w:p>
    <w:p w14:paraId="4C1EFF42">
      <w:pPr>
        <w:pStyle w:val="3"/>
        <w:keepNext w:val="0"/>
        <w:keepLines w:val="0"/>
        <w:widowControl/>
        <w:suppressLineNumbers w:val="0"/>
        <w:rPr>
          <w:rFonts w:hint="eastAsia"/>
          <w:color w:val="auto"/>
          <w:lang w:val="en-US" w:eastAsia="zh-CN"/>
        </w:rPr>
      </w:pPr>
    </w:p>
    <w:p w14:paraId="512A5052">
      <w:pPr>
        <w:pStyle w:val="3"/>
        <w:keepNext w:val="0"/>
        <w:keepLines w:val="0"/>
        <w:widowControl/>
        <w:suppressLineNumbers w:val="0"/>
        <w:rPr>
          <w:rFonts w:hint="eastAsia"/>
          <w:color w:val="auto"/>
          <w:lang w:val="en-US" w:eastAsia="zh-CN"/>
        </w:rPr>
      </w:pPr>
    </w:p>
    <w:p w14:paraId="3522CDA6">
      <w:pPr>
        <w:pStyle w:val="3"/>
        <w:keepNext w:val="0"/>
        <w:keepLines w:val="0"/>
        <w:widowControl/>
        <w:suppressLineNumbers w:val="0"/>
        <w:rPr>
          <w:rFonts w:hint="eastAsia"/>
          <w:color w:val="auto"/>
          <w:lang w:val="en-US" w:eastAsia="zh-CN"/>
        </w:rPr>
      </w:pPr>
    </w:p>
    <w:p w14:paraId="72244471">
      <w:pPr>
        <w:pStyle w:val="3"/>
        <w:keepNext w:val="0"/>
        <w:keepLines w:val="0"/>
        <w:widowControl/>
        <w:suppressLineNumbers w:val="0"/>
        <w:rPr>
          <w:rFonts w:hint="eastAsia"/>
          <w:color w:val="auto"/>
          <w:lang w:val="en-US" w:eastAsia="zh-CN"/>
        </w:rPr>
      </w:pPr>
    </w:p>
    <w:p w14:paraId="5FC0B8D0">
      <w:pPr>
        <w:pStyle w:val="3"/>
        <w:keepNext w:val="0"/>
        <w:keepLines w:val="0"/>
        <w:widowControl/>
        <w:suppressLineNumbers w:val="0"/>
        <w:rPr>
          <w:rFonts w:hint="eastAsia"/>
          <w:color w:val="auto"/>
          <w:lang w:val="en-US" w:eastAsia="zh-CN"/>
        </w:rPr>
      </w:pPr>
    </w:p>
    <w:p w14:paraId="32671454">
      <w:pPr>
        <w:pStyle w:val="3"/>
        <w:keepNext w:val="0"/>
        <w:keepLines w:val="0"/>
        <w:widowControl/>
        <w:suppressLineNumbers w:val="0"/>
        <w:rPr>
          <w:rFonts w:hint="eastAsia"/>
          <w:color w:val="auto"/>
          <w:lang w:val="en-US" w:eastAsia="zh-CN"/>
        </w:rPr>
      </w:pPr>
    </w:p>
    <w:p w14:paraId="19BC7546">
      <w:pPr>
        <w:pStyle w:val="3"/>
        <w:keepNext w:val="0"/>
        <w:keepLines w:val="0"/>
        <w:widowControl/>
        <w:suppressLineNumbers w:val="0"/>
        <w:rPr>
          <w:rFonts w:hint="eastAsia"/>
          <w:color w:val="auto"/>
          <w:lang w:val="en-US" w:eastAsia="zh-CN"/>
        </w:rPr>
      </w:pPr>
    </w:p>
    <w:p w14:paraId="42D3794B">
      <w:pPr>
        <w:pStyle w:val="3"/>
        <w:keepNext w:val="0"/>
        <w:keepLines w:val="0"/>
        <w:widowControl/>
        <w:suppressLineNumbers w:val="0"/>
        <w:rPr>
          <w:rFonts w:hint="eastAsia"/>
          <w:color w:val="auto"/>
          <w:lang w:val="en-US" w:eastAsia="zh-CN"/>
        </w:rPr>
      </w:pPr>
    </w:p>
    <w:p w14:paraId="6F3559EF">
      <w:pPr>
        <w:pStyle w:val="3"/>
        <w:keepNext w:val="0"/>
        <w:keepLines w:val="0"/>
        <w:widowControl/>
        <w:suppressLineNumbers w:val="0"/>
        <w:rPr>
          <w:rFonts w:hint="default"/>
          <w:color w:val="auto"/>
          <w:lang w:val="en-US" w:eastAsia="zh-CN"/>
        </w:rPr>
      </w:pPr>
      <w:r>
        <w:rPr>
          <w:rFonts w:hint="eastAsia"/>
          <w:color w:val="auto"/>
          <w:lang w:val="en-US" w:eastAsia="zh-CN"/>
        </w:rPr>
        <w:t>Part 2</w:t>
      </w:r>
    </w:p>
    <w:p w14:paraId="208F9F9E">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In Part 2, I constructed optimal portfolios for each portfolio (A, B, and C) by maximizing the Sharpe ratio, which optimizes the risk-return tradeoff. This optimization used the CAPM parameters from Part 1 but assumed zero alpha and used historical averages for expected market return and risk-free rate.</w:t>
      </w:r>
    </w:p>
    <w:p w14:paraId="579B87CA">
      <w:pPr>
        <w:pStyle w:val="34"/>
        <w:keepNext w:val="0"/>
        <w:keepLines w:val="0"/>
        <w:widowControl/>
        <w:suppressLineNumbers w:val="0"/>
        <w:spacing w:before="0" w:beforeAutospacing="1" w:after="0" w:afterAutospacing="1"/>
        <w:ind w:left="0" w:right="0"/>
        <w:rPr>
          <w:color w:val="auto"/>
        </w:rPr>
      </w:pPr>
      <w:r>
        <w:rPr>
          <w:rStyle w:val="35"/>
          <w:color w:val="auto"/>
        </w:rPr>
        <w:t>Expected Annual Returns for Major Stocks:</w:t>
      </w:r>
    </w:p>
    <w:p w14:paraId="665909AA">
      <w:pPr>
        <w:keepNext w:val="0"/>
        <w:keepLines w:val="0"/>
        <w:widowControl/>
        <w:numPr>
          <w:ilvl w:val="0"/>
          <w:numId w:val="8"/>
        </w:numPr>
        <w:suppressLineNumbers w:val="0"/>
        <w:spacing w:before="0" w:beforeAutospacing="1" w:after="0" w:afterAutospacing="1"/>
        <w:ind w:left="720" w:hanging="360"/>
        <w:rPr>
          <w:color w:val="auto"/>
          <w:sz w:val="20"/>
          <w:szCs w:val="20"/>
        </w:rPr>
      </w:pPr>
      <w:r>
        <w:rPr>
          <w:color w:val="auto"/>
          <w:sz w:val="20"/>
          <w:szCs w:val="20"/>
        </w:rPr>
        <w:t>AAPL: 26.88%</w:t>
      </w:r>
    </w:p>
    <w:p w14:paraId="57488938">
      <w:pPr>
        <w:keepNext w:val="0"/>
        <w:keepLines w:val="0"/>
        <w:widowControl/>
        <w:numPr>
          <w:ilvl w:val="0"/>
          <w:numId w:val="8"/>
        </w:numPr>
        <w:suppressLineNumbers w:val="0"/>
        <w:spacing w:before="0" w:beforeAutospacing="1" w:after="0" w:afterAutospacing="1"/>
        <w:ind w:left="720" w:hanging="360"/>
        <w:rPr>
          <w:color w:val="auto"/>
          <w:sz w:val="20"/>
          <w:szCs w:val="20"/>
        </w:rPr>
      </w:pPr>
      <w:r>
        <w:rPr>
          <w:color w:val="auto"/>
          <w:sz w:val="20"/>
          <w:szCs w:val="20"/>
        </w:rPr>
        <w:t>MSFT: 28.19%</w:t>
      </w:r>
    </w:p>
    <w:p w14:paraId="4DD085D1">
      <w:pPr>
        <w:keepNext w:val="0"/>
        <w:keepLines w:val="0"/>
        <w:widowControl/>
        <w:numPr>
          <w:ilvl w:val="0"/>
          <w:numId w:val="8"/>
        </w:numPr>
        <w:suppressLineNumbers w:val="0"/>
        <w:spacing w:before="0" w:beforeAutospacing="1" w:after="0" w:afterAutospacing="1"/>
        <w:ind w:left="720" w:hanging="360"/>
        <w:rPr>
          <w:color w:val="auto"/>
          <w:sz w:val="20"/>
          <w:szCs w:val="20"/>
        </w:rPr>
      </w:pPr>
      <w:r>
        <w:rPr>
          <w:color w:val="auto"/>
          <w:sz w:val="20"/>
          <w:szCs w:val="20"/>
        </w:rPr>
        <w:t>AMZN: 35.39%</w:t>
      </w:r>
    </w:p>
    <w:p w14:paraId="4B7D5131">
      <w:pPr>
        <w:keepNext w:val="0"/>
        <w:keepLines w:val="0"/>
        <w:widowControl/>
        <w:numPr>
          <w:ilvl w:val="0"/>
          <w:numId w:val="8"/>
        </w:numPr>
        <w:suppressLineNumbers w:val="0"/>
        <w:spacing w:before="0" w:beforeAutospacing="1" w:after="0" w:afterAutospacing="1"/>
        <w:ind w:left="720" w:hanging="360"/>
        <w:rPr>
          <w:color w:val="auto"/>
          <w:sz w:val="20"/>
          <w:szCs w:val="20"/>
        </w:rPr>
      </w:pPr>
      <w:r>
        <w:rPr>
          <w:color w:val="auto"/>
          <w:sz w:val="20"/>
          <w:szCs w:val="20"/>
        </w:rPr>
        <w:t>GOOGL: 32.34%</w:t>
      </w:r>
    </w:p>
    <w:p w14:paraId="005D627C">
      <w:pPr>
        <w:keepNext w:val="0"/>
        <w:keepLines w:val="0"/>
        <w:widowControl/>
        <w:numPr>
          <w:ilvl w:val="0"/>
          <w:numId w:val="8"/>
        </w:numPr>
        <w:suppressLineNumbers w:val="0"/>
        <w:spacing w:before="0" w:beforeAutospacing="1" w:after="0" w:afterAutospacing="1"/>
        <w:ind w:left="720" w:hanging="360"/>
        <w:rPr>
          <w:color w:val="auto"/>
          <w:sz w:val="20"/>
          <w:szCs w:val="20"/>
        </w:rPr>
      </w:pPr>
      <w:r>
        <w:rPr>
          <w:color w:val="auto"/>
          <w:sz w:val="20"/>
          <w:szCs w:val="20"/>
        </w:rPr>
        <w:t>META: 40.03%</w:t>
      </w:r>
    </w:p>
    <w:p w14:paraId="7BD66949">
      <w:pPr>
        <w:pStyle w:val="34"/>
        <w:keepNext w:val="0"/>
        <w:keepLines w:val="0"/>
        <w:widowControl/>
        <w:suppressLineNumbers w:val="0"/>
        <w:spacing w:before="0" w:beforeAutospacing="1" w:after="0" w:afterAutospacing="1"/>
        <w:ind w:left="0" w:right="0"/>
        <w:rPr>
          <w:color w:val="auto"/>
        </w:rPr>
      </w:pPr>
      <w:r>
        <w:rPr>
          <w:rStyle w:val="35"/>
          <w:color w:val="auto"/>
        </w:rPr>
        <w:t>Optimal Portfolio 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4"/>
        <w:gridCol w:w="1651"/>
        <w:gridCol w:w="1876"/>
        <w:gridCol w:w="1293"/>
      </w:tblGrid>
      <w:tr w14:paraId="25C8F64B">
        <w:trPr>
          <w:tblCellSpacing w:w="15" w:type="dxa"/>
        </w:trPr>
        <w:tc>
          <w:tcPr>
            <w:tcW w:w="0" w:type="auto"/>
            <w:shd w:val="clear"/>
            <w:vAlign w:val="center"/>
          </w:tcPr>
          <w:p w14:paraId="0EA2EACD">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Portfolio</w:t>
            </w:r>
          </w:p>
        </w:tc>
        <w:tc>
          <w:tcPr>
            <w:tcW w:w="0" w:type="auto"/>
            <w:shd w:val="clear"/>
            <w:vAlign w:val="center"/>
          </w:tcPr>
          <w:p w14:paraId="5EC14115">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Expected Return</w:t>
            </w:r>
          </w:p>
        </w:tc>
        <w:tc>
          <w:tcPr>
            <w:tcW w:w="0" w:type="auto"/>
            <w:shd w:val="clear"/>
            <w:vAlign w:val="center"/>
          </w:tcPr>
          <w:p w14:paraId="1BCBA5F4">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Expected Volatility</w:t>
            </w:r>
          </w:p>
        </w:tc>
        <w:tc>
          <w:tcPr>
            <w:tcW w:w="0" w:type="auto"/>
            <w:shd w:val="clear"/>
            <w:vAlign w:val="center"/>
          </w:tcPr>
          <w:p w14:paraId="498A56CB">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Sharpe Ratio</w:t>
            </w:r>
          </w:p>
        </w:tc>
      </w:tr>
      <w:tr w14:paraId="493F4618">
        <w:trPr>
          <w:tblCellSpacing w:w="15" w:type="dxa"/>
        </w:trPr>
        <w:tc>
          <w:tcPr>
            <w:tcW w:w="0" w:type="auto"/>
            <w:shd w:val="clear"/>
            <w:vAlign w:val="center"/>
          </w:tcPr>
          <w:p w14:paraId="5E622C40">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A</w:t>
            </w:r>
          </w:p>
        </w:tc>
        <w:tc>
          <w:tcPr>
            <w:tcW w:w="0" w:type="auto"/>
            <w:shd w:val="clear"/>
            <w:vAlign w:val="center"/>
          </w:tcPr>
          <w:p w14:paraId="36D08404">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25.03%</w:t>
            </w:r>
          </w:p>
        </w:tc>
        <w:tc>
          <w:tcPr>
            <w:tcW w:w="0" w:type="auto"/>
            <w:shd w:val="clear"/>
            <w:vAlign w:val="center"/>
          </w:tcPr>
          <w:p w14:paraId="0592921E">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13.71%</w:t>
            </w:r>
          </w:p>
        </w:tc>
        <w:tc>
          <w:tcPr>
            <w:tcW w:w="0" w:type="auto"/>
            <w:shd w:val="clear"/>
            <w:vAlign w:val="center"/>
          </w:tcPr>
          <w:p w14:paraId="38EA0FE8">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1.46</w:t>
            </w:r>
          </w:p>
        </w:tc>
      </w:tr>
      <w:tr w14:paraId="1178C585">
        <w:trPr>
          <w:tblCellSpacing w:w="15" w:type="dxa"/>
        </w:trPr>
        <w:tc>
          <w:tcPr>
            <w:tcW w:w="0" w:type="auto"/>
            <w:shd w:val="clear"/>
            <w:vAlign w:val="center"/>
          </w:tcPr>
          <w:p w14:paraId="3ED4D297">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B</w:t>
            </w:r>
          </w:p>
        </w:tc>
        <w:tc>
          <w:tcPr>
            <w:tcW w:w="0" w:type="auto"/>
            <w:shd w:val="clear"/>
            <w:vAlign w:val="center"/>
          </w:tcPr>
          <w:p w14:paraId="35889054">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24.96%</w:t>
            </w:r>
          </w:p>
        </w:tc>
        <w:tc>
          <w:tcPr>
            <w:tcW w:w="0" w:type="auto"/>
            <w:shd w:val="clear"/>
            <w:vAlign w:val="center"/>
          </w:tcPr>
          <w:p w14:paraId="74508CE3">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13.47%</w:t>
            </w:r>
          </w:p>
        </w:tc>
        <w:tc>
          <w:tcPr>
            <w:tcW w:w="0" w:type="auto"/>
            <w:shd w:val="clear"/>
            <w:vAlign w:val="center"/>
          </w:tcPr>
          <w:p w14:paraId="10993E5C">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1.48</w:t>
            </w:r>
          </w:p>
        </w:tc>
      </w:tr>
      <w:tr w14:paraId="3EAD0687">
        <w:trPr>
          <w:tblCellSpacing w:w="15" w:type="dxa"/>
        </w:trPr>
        <w:tc>
          <w:tcPr>
            <w:tcW w:w="0" w:type="auto"/>
            <w:shd w:val="clear"/>
            <w:vAlign w:val="center"/>
          </w:tcPr>
          <w:p w14:paraId="4D0068D3">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C</w:t>
            </w:r>
          </w:p>
        </w:tc>
        <w:tc>
          <w:tcPr>
            <w:tcW w:w="0" w:type="auto"/>
            <w:shd w:val="clear"/>
            <w:vAlign w:val="center"/>
          </w:tcPr>
          <w:p w14:paraId="132D2505">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25.17%</w:t>
            </w:r>
          </w:p>
        </w:tc>
        <w:tc>
          <w:tcPr>
            <w:tcW w:w="0" w:type="auto"/>
            <w:shd w:val="clear"/>
            <w:vAlign w:val="center"/>
          </w:tcPr>
          <w:p w14:paraId="6E0B2B39">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13.62%</w:t>
            </w:r>
          </w:p>
        </w:tc>
        <w:tc>
          <w:tcPr>
            <w:tcW w:w="0" w:type="auto"/>
            <w:shd w:val="clear"/>
            <w:vAlign w:val="center"/>
          </w:tcPr>
          <w:p w14:paraId="103F4285">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1.48</w:t>
            </w:r>
          </w:p>
        </w:tc>
      </w:tr>
      <w:tr w14:paraId="2E484120">
        <w:trPr>
          <w:tblCellSpacing w:w="15" w:type="dxa"/>
        </w:trPr>
        <w:tc>
          <w:tcPr>
            <w:tcW w:w="0" w:type="auto"/>
            <w:shd w:val="clear"/>
            <w:vAlign w:val="center"/>
          </w:tcPr>
          <w:p w14:paraId="41F2E73A">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Total</w:t>
            </w:r>
          </w:p>
        </w:tc>
        <w:tc>
          <w:tcPr>
            <w:tcW w:w="0" w:type="auto"/>
            <w:shd w:val="clear"/>
            <w:vAlign w:val="center"/>
          </w:tcPr>
          <w:p w14:paraId="483C65D5">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25.05%</w:t>
            </w:r>
          </w:p>
        </w:tc>
        <w:tc>
          <w:tcPr>
            <w:tcW w:w="0" w:type="auto"/>
            <w:shd w:val="clear"/>
            <w:vAlign w:val="center"/>
          </w:tcPr>
          <w:p w14:paraId="2FD44BC2">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13.60%</w:t>
            </w:r>
          </w:p>
        </w:tc>
        <w:tc>
          <w:tcPr>
            <w:tcW w:w="0" w:type="auto"/>
            <w:shd w:val="clear"/>
            <w:vAlign w:val="center"/>
          </w:tcPr>
          <w:p w14:paraId="60BE525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1.48</w:t>
            </w:r>
          </w:p>
        </w:tc>
      </w:tr>
    </w:tbl>
    <w:p w14:paraId="102172A4">
      <w:pPr>
        <w:keepNext w:val="0"/>
        <w:keepLines w:val="0"/>
        <w:widowControl/>
        <w:suppressLineNumbers w:val="0"/>
        <w:jc w:val="left"/>
        <w:rPr>
          <w:rFonts w:ascii="宋体" w:hAnsi="宋体" w:eastAsia="宋体" w:cs="宋体"/>
          <w:color w:val="auto"/>
          <w:kern w:val="0"/>
          <w:sz w:val="24"/>
          <w:szCs w:val="24"/>
          <w:lang w:val="en-US" w:eastAsia="zh-CN" w:bidi="ar"/>
        </w:rPr>
      </w:pPr>
    </w:p>
    <w:p w14:paraId="39AB9E8A">
      <w:pPr>
        <w:keepNext w:val="0"/>
        <w:keepLines w:val="0"/>
        <w:widowControl/>
        <w:suppressLineNumbers w:val="0"/>
        <w:jc w:val="left"/>
        <w:rPr>
          <w:rFonts w:hint="default" w:asciiTheme="minorAscii" w:hAnsiTheme="minorAscii" w:eastAsiaTheme="minorEastAsia" w:cstheme="minorEastAsia"/>
          <w:color w:val="auto"/>
          <w:sz w:val="20"/>
          <w:szCs w:val="20"/>
        </w:rPr>
      </w:pPr>
      <w:r>
        <w:rPr>
          <w:rFonts w:hint="default" w:asciiTheme="minorAscii" w:hAnsiTheme="minorAscii" w:eastAsiaTheme="minorEastAsia" w:cstheme="minorEastAsia"/>
          <w:color w:val="auto"/>
          <w:kern w:val="0"/>
          <w:sz w:val="20"/>
          <w:szCs w:val="20"/>
          <w:lang w:val="en-US" w:eastAsia="zh-CN" w:bidi="ar"/>
        </w:rPr>
        <w:t>All optimal portfolios had about 25% return and 13.5% risk, so they all gave a Sharpe of about 1.48.</w:t>
      </w:r>
    </w:p>
    <w:p w14:paraId="48C005B0">
      <w:pPr>
        <w:pStyle w:val="4"/>
        <w:keepNext w:val="0"/>
        <w:keepLines w:val="0"/>
        <w:widowControl/>
        <w:suppressLineNumbers w:val="0"/>
        <w:rPr>
          <w:color w:val="auto"/>
        </w:rPr>
      </w:pPr>
      <w:r>
        <w:rPr>
          <w:color w:val="auto"/>
        </w:rPr>
        <w:t>Total Portfolio Performance: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7"/>
        <w:gridCol w:w="1691"/>
        <w:gridCol w:w="1677"/>
        <w:gridCol w:w="1060"/>
      </w:tblGrid>
      <w:tr w14:paraId="6389F8A3">
        <w:trPr>
          <w:tblCellSpacing w:w="15" w:type="dxa"/>
        </w:trPr>
        <w:tc>
          <w:tcPr>
            <w:tcW w:w="0" w:type="auto"/>
            <w:shd w:val="clear"/>
            <w:vAlign w:val="center"/>
          </w:tcPr>
          <w:p w14:paraId="1172D6D3">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Metric</w:t>
            </w:r>
          </w:p>
        </w:tc>
        <w:tc>
          <w:tcPr>
            <w:tcW w:w="0" w:type="auto"/>
            <w:shd w:val="clear"/>
            <w:vAlign w:val="center"/>
          </w:tcPr>
          <w:p w14:paraId="6019CDA0">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Original Portfolio</w:t>
            </w:r>
          </w:p>
        </w:tc>
        <w:tc>
          <w:tcPr>
            <w:tcW w:w="0" w:type="auto"/>
            <w:shd w:val="clear"/>
            <w:vAlign w:val="center"/>
          </w:tcPr>
          <w:p w14:paraId="2336B897">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Optimal Portfolio</w:t>
            </w:r>
          </w:p>
        </w:tc>
        <w:tc>
          <w:tcPr>
            <w:tcW w:w="0" w:type="auto"/>
            <w:shd w:val="clear"/>
            <w:vAlign w:val="center"/>
          </w:tcPr>
          <w:p w14:paraId="3BF27A93">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Difference</w:t>
            </w:r>
          </w:p>
        </w:tc>
      </w:tr>
      <w:tr w14:paraId="7D848090">
        <w:trPr>
          <w:tblCellSpacing w:w="15" w:type="dxa"/>
        </w:trPr>
        <w:tc>
          <w:tcPr>
            <w:tcW w:w="0" w:type="auto"/>
            <w:shd w:val="clear"/>
            <w:vAlign w:val="center"/>
          </w:tcPr>
          <w:p w14:paraId="13B94A2D">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Total Return</w:t>
            </w:r>
          </w:p>
        </w:tc>
        <w:tc>
          <w:tcPr>
            <w:tcW w:w="0" w:type="auto"/>
            <w:shd w:val="clear"/>
            <w:vAlign w:val="center"/>
          </w:tcPr>
          <w:p w14:paraId="36E77EA8">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20.47%</w:t>
            </w:r>
          </w:p>
        </w:tc>
        <w:tc>
          <w:tcPr>
            <w:tcW w:w="0" w:type="auto"/>
            <w:shd w:val="clear"/>
            <w:vAlign w:val="center"/>
          </w:tcPr>
          <w:p w14:paraId="248BE20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28.39%</w:t>
            </w:r>
          </w:p>
        </w:tc>
        <w:tc>
          <w:tcPr>
            <w:tcW w:w="0" w:type="auto"/>
            <w:shd w:val="clear"/>
            <w:vAlign w:val="center"/>
          </w:tcPr>
          <w:p w14:paraId="10F6E38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+7.91%</w:t>
            </w:r>
          </w:p>
        </w:tc>
      </w:tr>
      <w:tr w14:paraId="55163731">
        <w:trPr>
          <w:tblCellSpacing w:w="15" w:type="dxa"/>
        </w:trPr>
        <w:tc>
          <w:tcPr>
            <w:tcW w:w="0" w:type="auto"/>
            <w:shd w:val="clear"/>
            <w:vAlign w:val="center"/>
          </w:tcPr>
          <w:p w14:paraId="3FE43381">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Systematic Return</w:t>
            </w:r>
          </w:p>
        </w:tc>
        <w:tc>
          <w:tcPr>
            <w:tcW w:w="0" w:type="auto"/>
            <w:shd w:val="clear"/>
            <w:vAlign w:val="center"/>
          </w:tcPr>
          <w:p w14:paraId="3C4EE784">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24.93%</w:t>
            </w:r>
          </w:p>
        </w:tc>
        <w:tc>
          <w:tcPr>
            <w:tcW w:w="0" w:type="auto"/>
            <w:shd w:val="clear"/>
            <w:vAlign w:val="center"/>
          </w:tcPr>
          <w:p w14:paraId="73F310C4">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26.44%</w:t>
            </w:r>
          </w:p>
        </w:tc>
        <w:tc>
          <w:tcPr>
            <w:tcW w:w="0" w:type="auto"/>
            <w:shd w:val="clear"/>
            <w:vAlign w:val="center"/>
          </w:tcPr>
          <w:p w14:paraId="307E91B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+1.51%</w:t>
            </w:r>
          </w:p>
        </w:tc>
      </w:tr>
      <w:tr w14:paraId="29D39328">
        <w:trPr>
          <w:tblCellSpacing w:w="15" w:type="dxa"/>
        </w:trPr>
        <w:tc>
          <w:tcPr>
            <w:tcW w:w="0" w:type="auto"/>
            <w:shd w:val="clear"/>
            <w:vAlign w:val="center"/>
          </w:tcPr>
          <w:p w14:paraId="55DD0FE7">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Idiosyncratic Return</w:t>
            </w:r>
          </w:p>
        </w:tc>
        <w:tc>
          <w:tcPr>
            <w:tcW w:w="0" w:type="auto"/>
            <w:shd w:val="clear"/>
            <w:vAlign w:val="center"/>
          </w:tcPr>
          <w:p w14:paraId="6F082294">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-4.46%</w:t>
            </w:r>
          </w:p>
        </w:tc>
        <w:tc>
          <w:tcPr>
            <w:tcW w:w="0" w:type="auto"/>
            <w:shd w:val="clear"/>
            <w:vAlign w:val="center"/>
          </w:tcPr>
          <w:p w14:paraId="3D412419">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+1.95%</w:t>
            </w:r>
          </w:p>
        </w:tc>
        <w:tc>
          <w:tcPr>
            <w:tcW w:w="0" w:type="auto"/>
            <w:shd w:val="clear"/>
            <w:vAlign w:val="center"/>
          </w:tcPr>
          <w:p w14:paraId="19809B8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+6.41%</w:t>
            </w:r>
          </w:p>
        </w:tc>
      </w:tr>
      <w:tr w14:paraId="10443BB9">
        <w:trPr>
          <w:tblCellSpacing w:w="15" w:type="dxa"/>
        </w:trPr>
        <w:tc>
          <w:tcPr>
            <w:tcW w:w="0" w:type="auto"/>
            <w:shd w:val="clear"/>
            <w:vAlign w:val="center"/>
          </w:tcPr>
          <w:p w14:paraId="38D37493">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Portfolio Beta</w:t>
            </w:r>
          </w:p>
        </w:tc>
        <w:tc>
          <w:tcPr>
            <w:tcW w:w="0" w:type="auto"/>
            <w:shd w:val="clear"/>
            <w:vAlign w:val="center"/>
          </w:tcPr>
          <w:p w14:paraId="2368FA6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0.95</w:t>
            </w:r>
          </w:p>
        </w:tc>
        <w:tc>
          <w:tcPr>
            <w:tcW w:w="0" w:type="auto"/>
            <w:shd w:val="clear"/>
            <w:vAlign w:val="center"/>
          </w:tcPr>
          <w:p w14:paraId="1A88060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1.01</w:t>
            </w:r>
          </w:p>
        </w:tc>
        <w:tc>
          <w:tcPr>
            <w:tcW w:w="0" w:type="auto"/>
            <w:shd w:val="clear"/>
            <w:vAlign w:val="center"/>
          </w:tcPr>
          <w:p w14:paraId="78E183E5">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+0.06</w:t>
            </w:r>
          </w:p>
        </w:tc>
      </w:tr>
      <w:tr w14:paraId="5146C53A">
        <w:trPr>
          <w:tblCellSpacing w:w="15" w:type="dxa"/>
        </w:trPr>
        <w:tc>
          <w:tcPr>
            <w:tcW w:w="0" w:type="auto"/>
            <w:shd w:val="clear"/>
            <w:vAlign w:val="center"/>
          </w:tcPr>
          <w:p w14:paraId="0411BA1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Sharpe Ratio</w:t>
            </w:r>
          </w:p>
        </w:tc>
        <w:tc>
          <w:tcPr>
            <w:tcW w:w="0" w:type="auto"/>
            <w:shd w:val="clear"/>
            <w:vAlign w:val="center"/>
          </w:tcPr>
          <w:p w14:paraId="4650668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c>
          <w:tcPr>
            <w:tcW w:w="0" w:type="auto"/>
            <w:shd w:val="clear"/>
            <w:vAlign w:val="center"/>
          </w:tcPr>
          <w:p w14:paraId="6ECD306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1.48</w:t>
            </w:r>
          </w:p>
        </w:tc>
        <w:tc>
          <w:tcPr>
            <w:tcW w:w="0" w:type="auto"/>
            <w:shd w:val="clear"/>
            <w:vAlign w:val="center"/>
          </w:tcPr>
          <w:p w14:paraId="07127B50">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r>
    </w:tbl>
    <w:p w14:paraId="5E6A9465">
      <w:pPr>
        <w:pStyle w:val="4"/>
        <w:keepNext w:val="0"/>
        <w:keepLines w:val="0"/>
        <w:widowControl/>
        <w:suppressLineNumbers w:val="0"/>
        <w:rPr>
          <w:color w:val="auto"/>
        </w:rPr>
      </w:pPr>
      <w:r>
        <w:rPr>
          <w:color w:val="auto"/>
        </w:rPr>
        <w:t>Portfolio Performance: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4"/>
        <w:gridCol w:w="1992"/>
        <w:gridCol w:w="912"/>
        <w:gridCol w:w="819"/>
        <w:gridCol w:w="1060"/>
      </w:tblGrid>
      <w:tr w14:paraId="601DD6A0">
        <w:trPr>
          <w:tblCellSpacing w:w="15" w:type="dxa"/>
        </w:trPr>
        <w:tc>
          <w:tcPr>
            <w:tcW w:w="0" w:type="auto"/>
            <w:shd w:val="clear"/>
            <w:vAlign w:val="center"/>
          </w:tcPr>
          <w:p w14:paraId="40F174EA">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Portfolio</w:t>
            </w:r>
          </w:p>
        </w:tc>
        <w:tc>
          <w:tcPr>
            <w:tcW w:w="0" w:type="auto"/>
            <w:shd w:val="clear"/>
            <w:vAlign w:val="center"/>
          </w:tcPr>
          <w:p w14:paraId="5CB8E3D9">
            <w:pPr>
              <w:keepNext w:val="0"/>
              <w:keepLines w:val="0"/>
              <w:widowControl/>
              <w:suppressLineNumbers w:val="0"/>
              <w:jc w:val="center"/>
              <w:rPr>
                <w:b/>
                <w:bCs/>
                <w:color w:val="auto"/>
              </w:rPr>
            </w:pPr>
            <w:r>
              <w:rPr>
                <w:rFonts w:ascii="宋体" w:hAnsi="宋体" w:eastAsia="宋体" w:cs="宋体"/>
                <w:b/>
                <w:bCs/>
                <w:color w:val="auto"/>
                <w:kern w:val="0"/>
                <w:sz w:val="24"/>
                <w:szCs w:val="24"/>
                <w:lang w:val="en-US" w:eastAsia="zh-CN" w:bidi="ar"/>
              </w:rPr>
              <w:t>Metric</w:t>
            </w:r>
          </w:p>
        </w:tc>
        <w:tc>
          <w:tcPr>
            <w:tcW w:w="0" w:type="auto"/>
            <w:shd w:val="clear"/>
            <w:vAlign w:val="center"/>
          </w:tcPr>
          <w:p w14:paraId="5FF23257">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Original</w:t>
            </w:r>
          </w:p>
        </w:tc>
        <w:tc>
          <w:tcPr>
            <w:tcW w:w="0" w:type="auto"/>
            <w:shd w:val="clear"/>
            <w:vAlign w:val="center"/>
          </w:tcPr>
          <w:p w14:paraId="6CE6E9C9">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Optimal</w:t>
            </w:r>
          </w:p>
        </w:tc>
        <w:tc>
          <w:tcPr>
            <w:tcW w:w="0" w:type="auto"/>
            <w:shd w:val="clear"/>
            <w:vAlign w:val="center"/>
          </w:tcPr>
          <w:p w14:paraId="4E64E8CE">
            <w:pPr>
              <w:keepNext w:val="0"/>
              <w:keepLines w:val="0"/>
              <w:widowControl/>
              <w:suppressLineNumbers w:val="0"/>
              <w:jc w:val="right"/>
              <w:rPr>
                <w:b/>
                <w:bCs/>
                <w:color w:val="auto"/>
              </w:rPr>
            </w:pPr>
            <w:r>
              <w:rPr>
                <w:rFonts w:ascii="宋体" w:hAnsi="宋体" w:eastAsia="宋体" w:cs="宋体"/>
                <w:b/>
                <w:bCs/>
                <w:color w:val="auto"/>
                <w:kern w:val="0"/>
                <w:sz w:val="24"/>
                <w:szCs w:val="24"/>
                <w:lang w:val="en-US" w:eastAsia="zh-CN" w:bidi="ar"/>
              </w:rPr>
              <w:t>Difference</w:t>
            </w:r>
          </w:p>
        </w:tc>
      </w:tr>
      <w:tr w14:paraId="11581A38">
        <w:trPr>
          <w:tblCellSpacing w:w="15" w:type="dxa"/>
        </w:trPr>
        <w:tc>
          <w:tcPr>
            <w:tcW w:w="0" w:type="auto"/>
            <w:shd w:val="clear"/>
            <w:vAlign w:val="center"/>
          </w:tcPr>
          <w:p w14:paraId="6745F2DD">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A</w:t>
            </w:r>
          </w:p>
        </w:tc>
        <w:tc>
          <w:tcPr>
            <w:tcW w:w="0" w:type="auto"/>
            <w:shd w:val="clear"/>
            <w:vAlign w:val="center"/>
          </w:tcPr>
          <w:p w14:paraId="2B32CABD">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Total Return</w:t>
            </w:r>
          </w:p>
        </w:tc>
        <w:tc>
          <w:tcPr>
            <w:tcW w:w="0" w:type="auto"/>
            <w:shd w:val="clear"/>
            <w:vAlign w:val="center"/>
          </w:tcPr>
          <w:p w14:paraId="5F9B01AD">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13.66%</w:t>
            </w:r>
          </w:p>
        </w:tc>
        <w:tc>
          <w:tcPr>
            <w:tcW w:w="0" w:type="auto"/>
            <w:shd w:val="clear"/>
            <w:vAlign w:val="center"/>
          </w:tcPr>
          <w:p w14:paraId="59EDB31D">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28.86%</w:t>
            </w:r>
          </w:p>
        </w:tc>
        <w:tc>
          <w:tcPr>
            <w:tcW w:w="0" w:type="auto"/>
            <w:shd w:val="clear"/>
            <w:vAlign w:val="center"/>
          </w:tcPr>
          <w:p w14:paraId="46C96578">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+15.20%</w:t>
            </w:r>
          </w:p>
        </w:tc>
      </w:tr>
      <w:tr w14:paraId="6E829EC7">
        <w:trPr>
          <w:tblCellSpacing w:w="15" w:type="dxa"/>
        </w:trPr>
        <w:tc>
          <w:tcPr>
            <w:tcW w:w="0" w:type="auto"/>
            <w:shd w:val="clear"/>
            <w:vAlign w:val="center"/>
          </w:tcPr>
          <w:p w14:paraId="2342EFA8">
            <w:pPr>
              <w:rPr>
                <w:rFonts w:hint="eastAsia" w:ascii="宋体"/>
                <w:color w:val="auto"/>
                <w:sz w:val="24"/>
                <w:szCs w:val="24"/>
              </w:rPr>
            </w:pPr>
          </w:p>
        </w:tc>
        <w:tc>
          <w:tcPr>
            <w:tcW w:w="0" w:type="auto"/>
            <w:shd w:val="clear"/>
            <w:vAlign w:val="center"/>
          </w:tcPr>
          <w:p w14:paraId="4D81685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Systematic Return</w:t>
            </w:r>
          </w:p>
        </w:tc>
        <w:tc>
          <w:tcPr>
            <w:tcW w:w="0" w:type="auto"/>
            <w:shd w:val="clear"/>
            <w:vAlign w:val="center"/>
          </w:tcPr>
          <w:p w14:paraId="2F23D60C">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25.29%</w:t>
            </w:r>
          </w:p>
        </w:tc>
        <w:tc>
          <w:tcPr>
            <w:tcW w:w="0" w:type="auto"/>
            <w:shd w:val="clear"/>
            <w:vAlign w:val="center"/>
          </w:tcPr>
          <w:p w14:paraId="1F04EDCA">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26.41%</w:t>
            </w:r>
          </w:p>
        </w:tc>
        <w:tc>
          <w:tcPr>
            <w:tcW w:w="0" w:type="auto"/>
            <w:shd w:val="clear"/>
            <w:vAlign w:val="center"/>
          </w:tcPr>
          <w:p w14:paraId="081E50E3">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+1.12%</w:t>
            </w:r>
          </w:p>
        </w:tc>
      </w:tr>
      <w:tr w14:paraId="0D19909A">
        <w:trPr>
          <w:tblCellSpacing w:w="15" w:type="dxa"/>
        </w:trPr>
        <w:tc>
          <w:tcPr>
            <w:tcW w:w="0" w:type="auto"/>
            <w:shd w:val="clear"/>
            <w:vAlign w:val="center"/>
          </w:tcPr>
          <w:p w14:paraId="0C5C07C5">
            <w:pPr>
              <w:rPr>
                <w:rFonts w:hint="eastAsia" w:ascii="宋体"/>
                <w:color w:val="auto"/>
                <w:sz w:val="24"/>
                <w:szCs w:val="24"/>
              </w:rPr>
            </w:pPr>
          </w:p>
        </w:tc>
        <w:tc>
          <w:tcPr>
            <w:tcW w:w="0" w:type="auto"/>
            <w:shd w:val="clear"/>
            <w:vAlign w:val="center"/>
          </w:tcPr>
          <w:p w14:paraId="26314629">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Idiosyncratic Return</w:t>
            </w:r>
          </w:p>
        </w:tc>
        <w:tc>
          <w:tcPr>
            <w:tcW w:w="0" w:type="auto"/>
            <w:shd w:val="clear"/>
            <w:vAlign w:val="center"/>
          </w:tcPr>
          <w:p w14:paraId="2947018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-11.63%</w:t>
            </w:r>
          </w:p>
        </w:tc>
        <w:tc>
          <w:tcPr>
            <w:tcW w:w="0" w:type="auto"/>
            <w:shd w:val="clear"/>
            <w:vAlign w:val="center"/>
          </w:tcPr>
          <w:p w14:paraId="6DC46700">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+2.45%</w:t>
            </w:r>
          </w:p>
        </w:tc>
        <w:tc>
          <w:tcPr>
            <w:tcW w:w="0" w:type="auto"/>
            <w:shd w:val="clear"/>
            <w:vAlign w:val="center"/>
          </w:tcPr>
          <w:p w14:paraId="1814D57D">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+14.07%</w:t>
            </w:r>
          </w:p>
        </w:tc>
      </w:tr>
      <w:tr w14:paraId="27439C8C">
        <w:trPr>
          <w:tblCellSpacing w:w="15" w:type="dxa"/>
        </w:trPr>
        <w:tc>
          <w:tcPr>
            <w:tcW w:w="0" w:type="auto"/>
            <w:shd w:val="clear"/>
            <w:vAlign w:val="center"/>
          </w:tcPr>
          <w:p w14:paraId="5DBD55D2">
            <w:pPr>
              <w:rPr>
                <w:rFonts w:hint="eastAsia" w:ascii="宋体"/>
                <w:color w:val="auto"/>
                <w:sz w:val="24"/>
                <w:szCs w:val="24"/>
              </w:rPr>
            </w:pPr>
          </w:p>
        </w:tc>
        <w:tc>
          <w:tcPr>
            <w:tcW w:w="0" w:type="auto"/>
            <w:shd w:val="clear"/>
            <w:vAlign w:val="center"/>
          </w:tcPr>
          <w:p w14:paraId="0C752612">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Portfolio Beta</w:t>
            </w:r>
          </w:p>
        </w:tc>
        <w:tc>
          <w:tcPr>
            <w:tcW w:w="0" w:type="auto"/>
            <w:shd w:val="clear"/>
            <w:vAlign w:val="center"/>
          </w:tcPr>
          <w:p w14:paraId="23CD249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0.97</w:t>
            </w:r>
          </w:p>
        </w:tc>
        <w:tc>
          <w:tcPr>
            <w:tcW w:w="0" w:type="auto"/>
            <w:shd w:val="clear"/>
            <w:vAlign w:val="center"/>
          </w:tcPr>
          <w:p w14:paraId="529FAAE9">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1.01</w:t>
            </w:r>
          </w:p>
        </w:tc>
        <w:tc>
          <w:tcPr>
            <w:tcW w:w="0" w:type="auto"/>
            <w:shd w:val="clear"/>
            <w:vAlign w:val="center"/>
          </w:tcPr>
          <w:p w14:paraId="0F1D2E2E">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+0.04</w:t>
            </w:r>
          </w:p>
        </w:tc>
      </w:tr>
      <w:tr w14:paraId="1D62CD49">
        <w:trPr>
          <w:tblCellSpacing w:w="15" w:type="dxa"/>
        </w:trPr>
        <w:tc>
          <w:tcPr>
            <w:tcW w:w="0" w:type="auto"/>
            <w:shd w:val="clear"/>
            <w:vAlign w:val="center"/>
          </w:tcPr>
          <w:p w14:paraId="0199A257">
            <w:pPr>
              <w:rPr>
                <w:rFonts w:hint="eastAsia" w:ascii="宋体"/>
                <w:color w:val="auto"/>
                <w:sz w:val="24"/>
                <w:szCs w:val="24"/>
              </w:rPr>
            </w:pPr>
          </w:p>
        </w:tc>
        <w:tc>
          <w:tcPr>
            <w:tcW w:w="0" w:type="auto"/>
            <w:shd w:val="clear"/>
            <w:vAlign w:val="center"/>
          </w:tcPr>
          <w:p w14:paraId="3A70299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Sharpe Ratio</w:t>
            </w:r>
          </w:p>
        </w:tc>
        <w:tc>
          <w:tcPr>
            <w:tcW w:w="0" w:type="auto"/>
            <w:shd w:val="clear"/>
            <w:vAlign w:val="center"/>
          </w:tcPr>
          <w:p w14:paraId="0F1FE0C3">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c>
          <w:tcPr>
            <w:tcW w:w="0" w:type="auto"/>
            <w:shd w:val="clear"/>
            <w:vAlign w:val="center"/>
          </w:tcPr>
          <w:p w14:paraId="0E01C6BB">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1.46</w:t>
            </w:r>
          </w:p>
        </w:tc>
        <w:tc>
          <w:tcPr>
            <w:tcW w:w="0" w:type="auto"/>
            <w:shd w:val="clear"/>
            <w:vAlign w:val="center"/>
          </w:tcPr>
          <w:p w14:paraId="37B95CAD">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r>
      <w:tr w14:paraId="651B3811">
        <w:trPr>
          <w:tblCellSpacing w:w="15" w:type="dxa"/>
        </w:trPr>
        <w:tc>
          <w:tcPr>
            <w:tcW w:w="0" w:type="auto"/>
            <w:shd w:val="clear"/>
            <w:vAlign w:val="center"/>
          </w:tcPr>
          <w:p w14:paraId="59579FC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B</w:t>
            </w:r>
          </w:p>
        </w:tc>
        <w:tc>
          <w:tcPr>
            <w:tcW w:w="0" w:type="auto"/>
            <w:shd w:val="clear"/>
            <w:vAlign w:val="center"/>
          </w:tcPr>
          <w:p w14:paraId="48693F44">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Total Return</w:t>
            </w:r>
          </w:p>
        </w:tc>
        <w:tc>
          <w:tcPr>
            <w:tcW w:w="0" w:type="auto"/>
            <w:shd w:val="clear"/>
            <w:vAlign w:val="center"/>
          </w:tcPr>
          <w:p w14:paraId="73D42FD0">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20.35%</w:t>
            </w:r>
          </w:p>
        </w:tc>
        <w:tc>
          <w:tcPr>
            <w:tcW w:w="0" w:type="auto"/>
            <w:shd w:val="clear"/>
            <w:vAlign w:val="center"/>
          </w:tcPr>
          <w:p w14:paraId="1C9AD8D0">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25.79%</w:t>
            </w:r>
          </w:p>
        </w:tc>
        <w:tc>
          <w:tcPr>
            <w:tcW w:w="0" w:type="auto"/>
            <w:shd w:val="clear"/>
            <w:vAlign w:val="center"/>
          </w:tcPr>
          <w:p w14:paraId="2050DD0C">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+5.44%</w:t>
            </w:r>
          </w:p>
        </w:tc>
      </w:tr>
      <w:tr w14:paraId="3BA1E399">
        <w:trPr>
          <w:tblCellSpacing w:w="15" w:type="dxa"/>
        </w:trPr>
        <w:tc>
          <w:tcPr>
            <w:tcW w:w="0" w:type="auto"/>
            <w:shd w:val="clear"/>
            <w:vAlign w:val="center"/>
          </w:tcPr>
          <w:p w14:paraId="0E535A4A">
            <w:pPr>
              <w:rPr>
                <w:rFonts w:hint="eastAsia" w:ascii="宋体"/>
                <w:color w:val="auto"/>
                <w:sz w:val="24"/>
                <w:szCs w:val="24"/>
              </w:rPr>
            </w:pPr>
          </w:p>
        </w:tc>
        <w:tc>
          <w:tcPr>
            <w:tcW w:w="0" w:type="auto"/>
            <w:shd w:val="clear"/>
            <w:vAlign w:val="center"/>
          </w:tcPr>
          <w:p w14:paraId="75F3BC0F">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Systematic Return</w:t>
            </w:r>
          </w:p>
        </w:tc>
        <w:tc>
          <w:tcPr>
            <w:tcW w:w="0" w:type="auto"/>
            <w:shd w:val="clear"/>
            <w:vAlign w:val="center"/>
          </w:tcPr>
          <w:p w14:paraId="6B3CC208">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24.07%</w:t>
            </w:r>
          </w:p>
        </w:tc>
        <w:tc>
          <w:tcPr>
            <w:tcW w:w="0" w:type="auto"/>
            <w:shd w:val="clear"/>
            <w:vAlign w:val="center"/>
          </w:tcPr>
          <w:p w14:paraId="6FCBE083">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26.32%</w:t>
            </w:r>
          </w:p>
        </w:tc>
        <w:tc>
          <w:tcPr>
            <w:tcW w:w="0" w:type="auto"/>
            <w:shd w:val="clear"/>
            <w:vAlign w:val="center"/>
          </w:tcPr>
          <w:p w14:paraId="559C2BBF">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+2.24%</w:t>
            </w:r>
          </w:p>
        </w:tc>
      </w:tr>
      <w:tr w14:paraId="4C275E92">
        <w:trPr>
          <w:tblCellSpacing w:w="15" w:type="dxa"/>
        </w:trPr>
        <w:tc>
          <w:tcPr>
            <w:tcW w:w="0" w:type="auto"/>
            <w:shd w:val="clear"/>
            <w:vAlign w:val="center"/>
          </w:tcPr>
          <w:p w14:paraId="0F605EB2">
            <w:pPr>
              <w:rPr>
                <w:rFonts w:hint="eastAsia" w:ascii="宋体"/>
                <w:color w:val="auto"/>
                <w:sz w:val="24"/>
                <w:szCs w:val="24"/>
              </w:rPr>
            </w:pPr>
          </w:p>
        </w:tc>
        <w:tc>
          <w:tcPr>
            <w:tcW w:w="0" w:type="auto"/>
            <w:shd w:val="clear"/>
            <w:vAlign w:val="center"/>
          </w:tcPr>
          <w:p w14:paraId="288AC803">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Idiosyncratic Return</w:t>
            </w:r>
          </w:p>
        </w:tc>
        <w:tc>
          <w:tcPr>
            <w:tcW w:w="0" w:type="auto"/>
            <w:shd w:val="clear"/>
            <w:vAlign w:val="center"/>
          </w:tcPr>
          <w:p w14:paraId="5E9D973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-3.72%</w:t>
            </w:r>
          </w:p>
        </w:tc>
        <w:tc>
          <w:tcPr>
            <w:tcW w:w="0" w:type="auto"/>
            <w:shd w:val="clear"/>
            <w:vAlign w:val="center"/>
          </w:tcPr>
          <w:p w14:paraId="4579F65B">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-0.53%</w:t>
            </w:r>
          </w:p>
        </w:tc>
        <w:tc>
          <w:tcPr>
            <w:tcW w:w="0" w:type="auto"/>
            <w:shd w:val="clear"/>
            <w:vAlign w:val="center"/>
          </w:tcPr>
          <w:p w14:paraId="0576CBE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+3.19%</w:t>
            </w:r>
          </w:p>
        </w:tc>
      </w:tr>
      <w:tr w14:paraId="297EEB26">
        <w:trPr>
          <w:tblCellSpacing w:w="15" w:type="dxa"/>
        </w:trPr>
        <w:tc>
          <w:tcPr>
            <w:tcW w:w="0" w:type="auto"/>
            <w:shd w:val="clear"/>
            <w:vAlign w:val="center"/>
          </w:tcPr>
          <w:p w14:paraId="560CF76F">
            <w:pPr>
              <w:rPr>
                <w:rFonts w:hint="eastAsia" w:ascii="宋体"/>
                <w:color w:val="auto"/>
                <w:sz w:val="24"/>
                <w:szCs w:val="24"/>
              </w:rPr>
            </w:pPr>
          </w:p>
        </w:tc>
        <w:tc>
          <w:tcPr>
            <w:tcW w:w="0" w:type="auto"/>
            <w:shd w:val="clear"/>
            <w:vAlign w:val="center"/>
          </w:tcPr>
          <w:p w14:paraId="5F28804E">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Portfolio Beta</w:t>
            </w:r>
          </w:p>
        </w:tc>
        <w:tc>
          <w:tcPr>
            <w:tcW w:w="0" w:type="auto"/>
            <w:shd w:val="clear"/>
            <w:vAlign w:val="center"/>
          </w:tcPr>
          <w:p w14:paraId="7A89CB30">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0.92</w:t>
            </w:r>
          </w:p>
        </w:tc>
        <w:tc>
          <w:tcPr>
            <w:tcW w:w="0" w:type="auto"/>
            <w:shd w:val="clear"/>
            <w:vAlign w:val="center"/>
          </w:tcPr>
          <w:p w14:paraId="1168843E">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1.01</w:t>
            </w:r>
          </w:p>
        </w:tc>
        <w:tc>
          <w:tcPr>
            <w:tcW w:w="0" w:type="auto"/>
            <w:shd w:val="clear"/>
            <w:vAlign w:val="center"/>
          </w:tcPr>
          <w:p w14:paraId="075F27DD">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+0.09</w:t>
            </w:r>
          </w:p>
        </w:tc>
      </w:tr>
      <w:tr w14:paraId="47FF6614">
        <w:trPr>
          <w:tblCellSpacing w:w="15" w:type="dxa"/>
        </w:trPr>
        <w:tc>
          <w:tcPr>
            <w:tcW w:w="0" w:type="auto"/>
            <w:shd w:val="clear"/>
            <w:vAlign w:val="center"/>
          </w:tcPr>
          <w:p w14:paraId="6E42B6D8">
            <w:pPr>
              <w:rPr>
                <w:rFonts w:hint="eastAsia" w:ascii="宋体"/>
                <w:color w:val="auto"/>
                <w:sz w:val="24"/>
                <w:szCs w:val="24"/>
              </w:rPr>
            </w:pPr>
          </w:p>
        </w:tc>
        <w:tc>
          <w:tcPr>
            <w:tcW w:w="0" w:type="auto"/>
            <w:shd w:val="clear"/>
            <w:vAlign w:val="center"/>
          </w:tcPr>
          <w:p w14:paraId="7D644590">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Sharpe Ratio</w:t>
            </w:r>
          </w:p>
        </w:tc>
        <w:tc>
          <w:tcPr>
            <w:tcW w:w="0" w:type="auto"/>
            <w:shd w:val="clear"/>
            <w:vAlign w:val="center"/>
          </w:tcPr>
          <w:p w14:paraId="1352EFF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c>
          <w:tcPr>
            <w:tcW w:w="0" w:type="auto"/>
            <w:shd w:val="clear"/>
            <w:vAlign w:val="center"/>
          </w:tcPr>
          <w:p w14:paraId="33BA99A5">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1.48</w:t>
            </w:r>
          </w:p>
        </w:tc>
        <w:tc>
          <w:tcPr>
            <w:tcW w:w="0" w:type="auto"/>
            <w:shd w:val="clear"/>
            <w:vAlign w:val="center"/>
          </w:tcPr>
          <w:p w14:paraId="23801F0A">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r>
      <w:tr w14:paraId="0323143F">
        <w:trPr>
          <w:tblCellSpacing w:w="15" w:type="dxa"/>
        </w:trPr>
        <w:tc>
          <w:tcPr>
            <w:tcW w:w="0" w:type="auto"/>
            <w:shd w:val="clear"/>
            <w:vAlign w:val="center"/>
          </w:tcPr>
          <w:p w14:paraId="720EACCA">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C</w:t>
            </w:r>
          </w:p>
        </w:tc>
        <w:tc>
          <w:tcPr>
            <w:tcW w:w="0" w:type="auto"/>
            <w:shd w:val="clear"/>
            <w:vAlign w:val="center"/>
          </w:tcPr>
          <w:p w14:paraId="7C4CAA58">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Total Return</w:t>
            </w:r>
          </w:p>
        </w:tc>
        <w:tc>
          <w:tcPr>
            <w:tcW w:w="0" w:type="auto"/>
            <w:shd w:val="clear"/>
            <w:vAlign w:val="center"/>
          </w:tcPr>
          <w:p w14:paraId="4C16379C">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28.12%</w:t>
            </w:r>
          </w:p>
        </w:tc>
        <w:tc>
          <w:tcPr>
            <w:tcW w:w="0" w:type="auto"/>
            <w:shd w:val="clear"/>
            <w:vAlign w:val="center"/>
          </w:tcPr>
          <w:p w14:paraId="7E72B93A">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30.59%</w:t>
            </w:r>
          </w:p>
        </w:tc>
        <w:tc>
          <w:tcPr>
            <w:tcW w:w="0" w:type="auto"/>
            <w:shd w:val="clear"/>
            <w:vAlign w:val="center"/>
          </w:tcPr>
          <w:p w14:paraId="4B7652C3">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+2.47%</w:t>
            </w:r>
          </w:p>
        </w:tc>
      </w:tr>
      <w:tr w14:paraId="57E78C9C">
        <w:trPr>
          <w:tblCellSpacing w:w="15" w:type="dxa"/>
        </w:trPr>
        <w:tc>
          <w:tcPr>
            <w:tcW w:w="0" w:type="auto"/>
            <w:shd w:val="clear"/>
            <w:vAlign w:val="center"/>
          </w:tcPr>
          <w:p w14:paraId="7D52A0FE">
            <w:pPr>
              <w:rPr>
                <w:rFonts w:hint="eastAsia" w:ascii="宋体"/>
                <w:color w:val="auto"/>
                <w:sz w:val="24"/>
                <w:szCs w:val="24"/>
              </w:rPr>
            </w:pPr>
          </w:p>
        </w:tc>
        <w:tc>
          <w:tcPr>
            <w:tcW w:w="0" w:type="auto"/>
            <w:shd w:val="clear"/>
            <w:vAlign w:val="center"/>
          </w:tcPr>
          <w:p w14:paraId="0F58C4AE">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Systematic Return</w:t>
            </w:r>
          </w:p>
        </w:tc>
        <w:tc>
          <w:tcPr>
            <w:tcW w:w="0" w:type="auto"/>
            <w:shd w:val="clear"/>
            <w:vAlign w:val="center"/>
          </w:tcPr>
          <w:p w14:paraId="247EEAD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25.43%</w:t>
            </w:r>
          </w:p>
        </w:tc>
        <w:tc>
          <w:tcPr>
            <w:tcW w:w="0" w:type="auto"/>
            <w:shd w:val="clear"/>
            <w:vAlign w:val="center"/>
          </w:tcPr>
          <w:p w14:paraId="6F2AFFD6">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26.59%</w:t>
            </w:r>
          </w:p>
        </w:tc>
        <w:tc>
          <w:tcPr>
            <w:tcW w:w="0" w:type="auto"/>
            <w:shd w:val="clear"/>
            <w:vAlign w:val="center"/>
          </w:tcPr>
          <w:p w14:paraId="13E28848">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+1.16%</w:t>
            </w:r>
          </w:p>
        </w:tc>
      </w:tr>
      <w:tr w14:paraId="5B8DE135">
        <w:trPr>
          <w:tblCellSpacing w:w="15" w:type="dxa"/>
        </w:trPr>
        <w:tc>
          <w:tcPr>
            <w:tcW w:w="0" w:type="auto"/>
            <w:shd w:val="clear"/>
            <w:vAlign w:val="center"/>
          </w:tcPr>
          <w:p w14:paraId="36DA2C0F">
            <w:pPr>
              <w:rPr>
                <w:rFonts w:hint="eastAsia" w:ascii="宋体"/>
                <w:color w:val="auto"/>
                <w:sz w:val="24"/>
                <w:szCs w:val="24"/>
              </w:rPr>
            </w:pPr>
          </w:p>
        </w:tc>
        <w:tc>
          <w:tcPr>
            <w:tcW w:w="0" w:type="auto"/>
            <w:shd w:val="clear"/>
            <w:vAlign w:val="center"/>
          </w:tcPr>
          <w:p w14:paraId="453181D6">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Idiosyncratic Return</w:t>
            </w:r>
          </w:p>
        </w:tc>
        <w:tc>
          <w:tcPr>
            <w:tcW w:w="0" w:type="auto"/>
            <w:shd w:val="clear"/>
            <w:vAlign w:val="center"/>
          </w:tcPr>
          <w:p w14:paraId="6892F156">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+2.68%</w:t>
            </w:r>
          </w:p>
        </w:tc>
        <w:tc>
          <w:tcPr>
            <w:tcW w:w="0" w:type="auto"/>
            <w:shd w:val="clear"/>
            <w:vAlign w:val="center"/>
          </w:tcPr>
          <w:p w14:paraId="5CB07596">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+4.00%</w:t>
            </w:r>
          </w:p>
        </w:tc>
        <w:tc>
          <w:tcPr>
            <w:tcW w:w="0" w:type="auto"/>
            <w:shd w:val="clear"/>
            <w:vAlign w:val="center"/>
          </w:tcPr>
          <w:p w14:paraId="5D72345A">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+1.32%</w:t>
            </w:r>
          </w:p>
        </w:tc>
      </w:tr>
      <w:tr w14:paraId="133A3217">
        <w:trPr>
          <w:tblCellSpacing w:w="15" w:type="dxa"/>
        </w:trPr>
        <w:tc>
          <w:tcPr>
            <w:tcW w:w="0" w:type="auto"/>
            <w:shd w:val="clear"/>
            <w:vAlign w:val="center"/>
          </w:tcPr>
          <w:p w14:paraId="60C2B867">
            <w:pPr>
              <w:rPr>
                <w:rFonts w:hint="eastAsia" w:ascii="宋体"/>
                <w:color w:val="auto"/>
                <w:sz w:val="24"/>
                <w:szCs w:val="24"/>
              </w:rPr>
            </w:pPr>
          </w:p>
        </w:tc>
        <w:tc>
          <w:tcPr>
            <w:tcW w:w="0" w:type="auto"/>
            <w:shd w:val="clear"/>
            <w:vAlign w:val="center"/>
          </w:tcPr>
          <w:p w14:paraId="40BA2ED9">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Portfolio Beta</w:t>
            </w:r>
          </w:p>
        </w:tc>
        <w:tc>
          <w:tcPr>
            <w:tcW w:w="0" w:type="auto"/>
            <w:shd w:val="clear"/>
            <w:vAlign w:val="center"/>
          </w:tcPr>
          <w:p w14:paraId="4EDE074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0.97</w:t>
            </w:r>
          </w:p>
        </w:tc>
        <w:tc>
          <w:tcPr>
            <w:tcW w:w="0" w:type="auto"/>
            <w:shd w:val="clear"/>
            <w:vAlign w:val="center"/>
          </w:tcPr>
          <w:p w14:paraId="575DEEF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1.02</w:t>
            </w:r>
          </w:p>
        </w:tc>
        <w:tc>
          <w:tcPr>
            <w:tcW w:w="0" w:type="auto"/>
            <w:shd w:val="clear"/>
            <w:vAlign w:val="center"/>
          </w:tcPr>
          <w:p w14:paraId="736E3E7A">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+0.04</w:t>
            </w:r>
          </w:p>
        </w:tc>
      </w:tr>
      <w:tr w14:paraId="2A0077D7">
        <w:trPr>
          <w:tblCellSpacing w:w="15" w:type="dxa"/>
        </w:trPr>
        <w:tc>
          <w:tcPr>
            <w:tcW w:w="0" w:type="auto"/>
            <w:shd w:val="clear"/>
            <w:vAlign w:val="center"/>
          </w:tcPr>
          <w:p w14:paraId="5C0C3063">
            <w:pPr>
              <w:rPr>
                <w:rFonts w:hint="eastAsia" w:ascii="宋体"/>
                <w:color w:val="auto"/>
                <w:sz w:val="24"/>
                <w:szCs w:val="24"/>
              </w:rPr>
            </w:pPr>
          </w:p>
        </w:tc>
        <w:tc>
          <w:tcPr>
            <w:tcW w:w="0" w:type="auto"/>
            <w:shd w:val="clear"/>
            <w:vAlign w:val="center"/>
          </w:tcPr>
          <w:p w14:paraId="54489680">
            <w:pPr>
              <w:keepNext w:val="0"/>
              <w:keepLines w:val="0"/>
              <w:widowControl/>
              <w:suppressLineNumbers w:val="0"/>
              <w:jc w:val="left"/>
              <w:rPr>
                <w:color w:val="auto"/>
              </w:rPr>
            </w:pPr>
            <w:r>
              <w:rPr>
                <w:rFonts w:ascii="宋体" w:hAnsi="宋体" w:eastAsia="宋体" w:cs="宋体"/>
                <w:color w:val="auto"/>
                <w:kern w:val="0"/>
                <w:sz w:val="24"/>
                <w:szCs w:val="24"/>
                <w:lang w:val="en-US" w:eastAsia="zh-CN" w:bidi="ar"/>
              </w:rPr>
              <w:t>Sharpe Ratio</w:t>
            </w:r>
          </w:p>
        </w:tc>
        <w:tc>
          <w:tcPr>
            <w:tcW w:w="0" w:type="auto"/>
            <w:shd w:val="clear"/>
            <w:vAlign w:val="center"/>
          </w:tcPr>
          <w:p w14:paraId="67DA7EC7">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c>
          <w:tcPr>
            <w:tcW w:w="0" w:type="auto"/>
            <w:shd w:val="clear"/>
            <w:vAlign w:val="center"/>
          </w:tcPr>
          <w:p w14:paraId="0120EBC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1.48</w:t>
            </w:r>
          </w:p>
        </w:tc>
        <w:tc>
          <w:tcPr>
            <w:tcW w:w="0" w:type="auto"/>
            <w:shd w:val="clear"/>
            <w:vAlign w:val="center"/>
          </w:tcPr>
          <w:p w14:paraId="5CA5DCB2">
            <w:pPr>
              <w:keepNext w:val="0"/>
              <w:keepLines w:val="0"/>
              <w:widowControl/>
              <w:suppressLineNumbers w:val="0"/>
              <w:jc w:val="right"/>
              <w:rPr>
                <w:color w:val="auto"/>
              </w:rPr>
            </w:pPr>
            <w:r>
              <w:rPr>
                <w:rFonts w:ascii="宋体" w:hAnsi="宋体" w:eastAsia="宋体" w:cs="宋体"/>
                <w:color w:val="auto"/>
                <w:kern w:val="0"/>
                <w:sz w:val="24"/>
                <w:szCs w:val="24"/>
                <w:lang w:val="en-US" w:eastAsia="zh-CN" w:bidi="ar"/>
              </w:rPr>
              <w:t>N/A</w:t>
            </w:r>
          </w:p>
        </w:tc>
      </w:tr>
    </w:tbl>
    <w:p w14:paraId="61CA7DBA">
      <w:pPr>
        <w:pStyle w:val="34"/>
        <w:keepNext w:val="0"/>
        <w:keepLines w:val="0"/>
        <w:widowControl/>
        <w:suppressLineNumbers w:val="0"/>
        <w:spacing w:before="0" w:beforeAutospacing="1" w:after="0" w:afterAutospacing="1"/>
        <w:ind w:left="0" w:right="0"/>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color w:val="auto"/>
          <w:sz w:val="20"/>
          <w:szCs w:val="20"/>
          <w:lang w:val="en-US" w:eastAsia="zh-CN"/>
        </w:rPr>
        <w:t xml:space="preserve">- </w:t>
      </w:r>
      <w:r>
        <w:rPr>
          <w:rFonts w:hint="eastAsia" w:asciiTheme="minorEastAsia" w:hAnsiTheme="minorEastAsia" w:eastAsiaTheme="minorEastAsia" w:cstheme="minorEastAsia"/>
          <w:color w:val="auto"/>
          <w:sz w:val="20"/>
          <w:szCs w:val="20"/>
        </w:rPr>
        <w:t>Portfolio A’s return rose from 13.66% to 28.86% (+15.20%). This jump is from the idio part going from –11.63% to 2.45%. That shows the original A had bad stock picks, but the new A did better even with alpha set to zero.</w:t>
      </w:r>
    </w:p>
    <w:p w14:paraId="76F1E391">
      <w:pPr>
        <w:pStyle w:val="34"/>
        <w:keepNext w:val="0"/>
        <w:keepLines w:val="0"/>
        <w:widowControl/>
        <w:suppressLineNumbers w:val="0"/>
        <w:spacing w:before="0" w:beforeAutospacing="1" w:after="0" w:afterAutospacing="1"/>
        <w:ind w:left="0" w:right="0"/>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color w:val="auto"/>
          <w:sz w:val="20"/>
          <w:szCs w:val="20"/>
          <w:lang w:val="en-US" w:eastAsia="zh-CN"/>
        </w:rPr>
        <w:t>- A</w:t>
      </w:r>
      <w:r>
        <w:rPr>
          <w:rFonts w:hint="eastAsia" w:asciiTheme="minorEastAsia" w:hAnsiTheme="minorEastAsia" w:eastAsiaTheme="minorEastAsia" w:cstheme="minorEastAsia"/>
          <w:color w:val="auto"/>
          <w:sz w:val="20"/>
          <w:szCs w:val="20"/>
        </w:rPr>
        <w:t>ll optimal portfolios have betas near 1.01 but the originals were 0.92–0.97, so more market exposure helped the Sharpe ratio.</w:t>
      </w:r>
    </w:p>
    <w:p w14:paraId="11E0BB7F">
      <w:pPr>
        <w:pStyle w:val="34"/>
        <w:keepNext w:val="0"/>
        <w:keepLines w:val="0"/>
        <w:widowControl/>
        <w:suppressLineNumbers w:val="0"/>
        <w:spacing w:before="0" w:beforeAutospacing="1" w:after="0" w:afterAutospacing="1"/>
        <w:ind w:left="0" w:right="0"/>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color w:val="auto"/>
          <w:sz w:val="20"/>
          <w:szCs w:val="20"/>
          <w:lang w:val="en-US" w:eastAsia="zh-CN"/>
        </w:rPr>
        <w:t>-</w:t>
      </w:r>
      <w:r>
        <w:rPr>
          <w:rFonts w:hint="eastAsia" w:asciiTheme="minorEastAsia" w:hAnsiTheme="minorEastAsia" w:eastAsiaTheme="minorEastAsia" w:cstheme="minorEastAsia"/>
          <w:color w:val="auto"/>
          <w:sz w:val="20"/>
          <w:szCs w:val="20"/>
        </w:rPr>
        <w:t xml:space="preserve"> The Sharpe</w:t>
      </w:r>
      <w:r>
        <w:rPr>
          <w:rFonts w:hint="eastAsia" w:asciiTheme="minorEastAsia" w:hAnsiTheme="minorEastAsia" w:eastAsiaTheme="minorEastAsia" w:cstheme="minorEastAsia"/>
          <w:color w:val="auto"/>
          <w:sz w:val="20"/>
          <w:szCs w:val="20"/>
        </w:rPr>
        <w:noBreakHyphen/>
      </w:r>
      <w:r>
        <w:rPr>
          <w:rFonts w:hint="eastAsia" w:asciiTheme="minorEastAsia" w:hAnsiTheme="minorEastAsia" w:eastAsiaTheme="minorEastAsia" w:cstheme="minorEastAsia"/>
          <w:color w:val="auto"/>
          <w:sz w:val="20"/>
          <w:szCs w:val="20"/>
        </w:rPr>
        <w:t>based mix moved weight away from stocks with big idio risk and to ones with better risk</w:t>
      </w:r>
      <w:r>
        <w:rPr>
          <w:rFonts w:hint="eastAsia" w:asciiTheme="minorEastAsia" w:hAnsiTheme="minorEastAsia" w:eastAsiaTheme="minorEastAsia" w:cstheme="minorEastAsia"/>
          <w:color w:val="auto"/>
          <w:sz w:val="20"/>
          <w:szCs w:val="20"/>
        </w:rPr>
        <w:noBreakHyphen/>
      </w:r>
      <w:r>
        <w:rPr>
          <w:rFonts w:hint="eastAsia" w:asciiTheme="minorEastAsia" w:hAnsiTheme="minorEastAsia" w:eastAsiaTheme="minorEastAsia" w:cstheme="minorEastAsia"/>
          <w:color w:val="auto"/>
          <w:sz w:val="20"/>
          <w:szCs w:val="20"/>
        </w:rPr>
        <w:t>adjusted returns.</w:t>
      </w:r>
    </w:p>
    <w:p w14:paraId="132692D6">
      <w:pPr>
        <w:pStyle w:val="3"/>
        <w:keepNext w:val="0"/>
        <w:keepLines w:val="0"/>
        <w:widowControl/>
        <w:suppressLineNumbers w:val="0"/>
        <w:rPr>
          <w:rFonts w:hint="eastAsia"/>
          <w:color w:val="auto"/>
          <w:lang w:val="en-US" w:eastAsia="zh-CN"/>
        </w:rPr>
      </w:pPr>
    </w:p>
    <w:p w14:paraId="111BB86C">
      <w:pPr>
        <w:pStyle w:val="3"/>
        <w:keepNext w:val="0"/>
        <w:keepLines w:val="0"/>
        <w:widowControl/>
        <w:suppressLineNumbers w:val="0"/>
        <w:rPr>
          <w:rFonts w:hint="eastAsia"/>
          <w:color w:val="auto"/>
          <w:lang w:val="en-US" w:eastAsia="zh-CN"/>
        </w:rPr>
      </w:pPr>
    </w:p>
    <w:p w14:paraId="1D117831">
      <w:pPr>
        <w:pStyle w:val="3"/>
        <w:keepNext w:val="0"/>
        <w:keepLines w:val="0"/>
        <w:widowControl/>
        <w:suppressLineNumbers w:val="0"/>
        <w:rPr>
          <w:rFonts w:hint="eastAsia"/>
          <w:color w:val="auto"/>
          <w:lang w:val="en-US" w:eastAsia="zh-CN"/>
        </w:rPr>
      </w:pPr>
    </w:p>
    <w:p w14:paraId="2330B8DA">
      <w:pPr>
        <w:pStyle w:val="3"/>
        <w:keepNext w:val="0"/>
        <w:keepLines w:val="0"/>
        <w:widowControl/>
        <w:suppressLineNumbers w:val="0"/>
        <w:rPr>
          <w:rFonts w:hint="eastAsia"/>
          <w:color w:val="auto"/>
          <w:lang w:val="en-US" w:eastAsia="zh-CN"/>
        </w:rPr>
      </w:pPr>
    </w:p>
    <w:p w14:paraId="5DC1A40F">
      <w:pPr>
        <w:pStyle w:val="3"/>
        <w:keepNext w:val="0"/>
        <w:keepLines w:val="0"/>
        <w:widowControl/>
        <w:suppressLineNumbers w:val="0"/>
        <w:rPr>
          <w:rFonts w:hint="eastAsia"/>
          <w:color w:val="auto"/>
          <w:lang w:val="en-US" w:eastAsia="zh-CN"/>
        </w:rPr>
      </w:pPr>
    </w:p>
    <w:p w14:paraId="0058E04D">
      <w:pPr>
        <w:pStyle w:val="3"/>
        <w:keepNext w:val="0"/>
        <w:keepLines w:val="0"/>
        <w:widowControl/>
        <w:suppressLineNumbers w:val="0"/>
        <w:rPr>
          <w:rFonts w:hint="eastAsia"/>
          <w:color w:val="auto"/>
          <w:lang w:val="en-US" w:eastAsia="zh-CN"/>
        </w:rPr>
      </w:pPr>
    </w:p>
    <w:p w14:paraId="70567C5E">
      <w:pPr>
        <w:pStyle w:val="3"/>
        <w:keepNext w:val="0"/>
        <w:keepLines w:val="0"/>
        <w:widowControl/>
        <w:suppressLineNumbers w:val="0"/>
        <w:rPr>
          <w:rFonts w:hint="eastAsia"/>
          <w:color w:val="auto"/>
          <w:lang w:val="en-US" w:eastAsia="zh-CN"/>
        </w:rPr>
      </w:pPr>
    </w:p>
    <w:p w14:paraId="59D8912A">
      <w:pPr>
        <w:pStyle w:val="3"/>
        <w:keepNext w:val="0"/>
        <w:keepLines w:val="0"/>
        <w:widowControl/>
        <w:suppressLineNumbers w:val="0"/>
        <w:rPr>
          <w:rFonts w:hint="eastAsia"/>
          <w:color w:val="auto"/>
          <w:lang w:val="en-US" w:eastAsia="zh-CN"/>
        </w:rPr>
      </w:pPr>
      <w:r>
        <w:rPr>
          <w:rFonts w:hint="eastAsia"/>
          <w:color w:val="auto"/>
          <w:lang w:val="en-US" w:eastAsia="zh-CN"/>
        </w:rPr>
        <w:t>Part 3</w:t>
      </w:r>
    </w:p>
    <w:p w14:paraId="30CDDA8B">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First, the Normal Inverse Gaussian (NIG) distribution mixes a normal variance</w:t>
      </w:r>
      <w:r>
        <w:rPr>
          <w:color w:val="auto"/>
          <w:sz w:val="20"/>
          <w:szCs w:val="20"/>
        </w:rPr>
        <w:noBreakHyphen/>
      </w:r>
      <w:r>
        <w:rPr>
          <w:color w:val="auto"/>
          <w:sz w:val="20"/>
          <w:szCs w:val="20"/>
        </w:rPr>
        <w:t>mean law with an inverse Gaussian law and has four parameters that shape its tail weight, skew, scale, and location. It can show heavier tails than the normal law and handle both skewness and excess kurtosis, and it stays valid when you add returns over different time spans. Because it has a closed</w:t>
      </w:r>
      <w:r>
        <w:rPr>
          <w:color w:val="auto"/>
          <w:sz w:val="20"/>
          <w:szCs w:val="20"/>
        </w:rPr>
        <w:noBreakHyphen/>
      </w:r>
      <w:r>
        <w:rPr>
          <w:color w:val="auto"/>
          <w:sz w:val="20"/>
          <w:szCs w:val="20"/>
        </w:rPr>
        <w:t>form characteristic function, we use it to build option pricing models that capture large jumps in asset prices.</w:t>
      </w:r>
    </w:p>
    <w:p w14:paraId="7E17AF91">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Next, the Skew Normal distribution adds one shape parameter to the normal law while keeping its location and scale settings, so it can lean left or right but still look like a bell curve. When the shape is zero, it becomes the normal law. It has clear formulas for its density and moments, and we can generate random samples from it easily in code, which helps us model mild asymmetry in financial data.</w:t>
      </w:r>
    </w:p>
    <w:p w14:paraId="393120D6">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Also, for modeling asset returns, markets often show extreme moves and tilt that the normal law misses. Using NIG lets us fit fat tails and capture rare, large gains or losses, and using Skew Normal lets us fit a small lean in either direction. Fitting these laws to daily return data shows they match the real return distribution better than the normal law.</w:t>
      </w:r>
    </w:p>
    <w:p w14:paraId="519C8B13">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Then, for risk management, we compute Value</w:t>
      </w:r>
      <w:r>
        <w:rPr>
          <w:color w:val="auto"/>
          <w:sz w:val="20"/>
          <w:szCs w:val="20"/>
        </w:rPr>
        <w:noBreakHyphen/>
      </w:r>
      <w:r>
        <w:rPr>
          <w:color w:val="auto"/>
          <w:sz w:val="20"/>
          <w:szCs w:val="20"/>
        </w:rPr>
        <w:t>at</w:t>
      </w:r>
      <w:r>
        <w:rPr>
          <w:color w:val="auto"/>
          <w:sz w:val="20"/>
          <w:szCs w:val="20"/>
        </w:rPr>
        <w:noBreakHyphen/>
      </w:r>
      <w:r>
        <w:rPr>
          <w:color w:val="auto"/>
          <w:sz w:val="20"/>
          <w:szCs w:val="20"/>
        </w:rPr>
        <w:t>Risk and Expected Shortfall under each law instead of using the normal law. When we fit NIG or Skew Normal, the VaR and ES numbers rise in stressed markets because fat tails or skew push more weight into the extremes. This gives more realistic estimates of how much we can lose on bad days.</w:t>
      </w:r>
    </w:p>
    <w:p w14:paraId="0FDDE8FD">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Next, for option pricing, we use the NIG distribution inside Lévy process models so that option prices can show the volatility smile and skew we see in market quotes. We plug its characteristic function into pricing formulas. We can also use Skew Normal under the risk</w:t>
      </w:r>
      <w:r>
        <w:rPr>
          <w:color w:val="auto"/>
          <w:sz w:val="20"/>
          <w:szCs w:val="20"/>
        </w:rPr>
        <w:noBreakHyphen/>
      </w:r>
      <w:r>
        <w:rPr>
          <w:color w:val="auto"/>
          <w:sz w:val="20"/>
          <w:szCs w:val="20"/>
        </w:rPr>
        <w:t>neutral measure to tilt the price density and adjust call and put prices for the skew premium.</w:t>
      </w:r>
    </w:p>
    <w:p w14:paraId="4CFF650F">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Also, for portfolio optimization, the classic mean</w:t>
      </w:r>
      <w:r>
        <w:rPr>
          <w:color w:val="auto"/>
          <w:sz w:val="20"/>
          <w:szCs w:val="20"/>
        </w:rPr>
        <w:noBreakHyphen/>
      </w:r>
      <w:r>
        <w:rPr>
          <w:color w:val="auto"/>
          <w:sz w:val="20"/>
          <w:szCs w:val="20"/>
        </w:rPr>
        <w:t>variance method only looks at average return and variance. If we build a model with NIG or Skew Normal, we add skewness and kurtosis preferences and can choose weights that avoid heavy tails or match investor bias. In a multivariate setting, these laws help capture tail dependence when assets tend to crash together.</w:t>
      </w:r>
    </w:p>
    <w:p w14:paraId="0A43E2A3">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In this class, we used Python to fit NIG and Skew Normal by maximum likelihood and then we plotted their pdfs versus the normal law. We saw how idiosyncratic returns from Parts 1 and 2 had skew and fat tails, and we recalculated VaR and ES with these laws. That practice showed us how non</w:t>
      </w:r>
      <w:r>
        <w:rPr>
          <w:color w:val="auto"/>
          <w:sz w:val="20"/>
          <w:szCs w:val="20"/>
        </w:rPr>
        <w:noBreakHyphen/>
      </w:r>
      <w:r>
        <w:rPr>
          <w:color w:val="auto"/>
          <w:sz w:val="20"/>
          <w:szCs w:val="20"/>
        </w:rPr>
        <w:t>normal distributions can reduce model risk and improve our risk attribution and portfolio results.</w:t>
      </w:r>
    </w:p>
    <w:p w14:paraId="251AFB44">
      <w:pPr>
        <w:rPr>
          <w:color w:val="auto"/>
        </w:rPr>
      </w:pPr>
    </w:p>
    <w:p w14:paraId="3C74A5C8">
      <w:pPr>
        <w:pStyle w:val="3"/>
        <w:keepNext w:val="0"/>
        <w:keepLines w:val="0"/>
        <w:widowControl/>
        <w:suppressLineNumbers w:val="0"/>
        <w:rPr>
          <w:rFonts w:hint="eastAsia"/>
          <w:color w:val="auto"/>
          <w:lang w:val="en-US" w:eastAsia="zh-CN"/>
        </w:rPr>
      </w:pPr>
    </w:p>
    <w:p w14:paraId="12B2B531">
      <w:pPr>
        <w:pStyle w:val="3"/>
        <w:keepNext w:val="0"/>
        <w:keepLines w:val="0"/>
        <w:widowControl/>
        <w:suppressLineNumbers w:val="0"/>
        <w:rPr>
          <w:rFonts w:hint="eastAsia"/>
          <w:color w:val="auto"/>
          <w:lang w:val="en-US" w:eastAsia="zh-CN"/>
        </w:rPr>
      </w:pPr>
    </w:p>
    <w:p w14:paraId="46782694">
      <w:pPr>
        <w:pStyle w:val="3"/>
        <w:keepNext w:val="0"/>
        <w:keepLines w:val="0"/>
        <w:widowControl/>
        <w:suppressLineNumbers w:val="0"/>
        <w:rPr>
          <w:rFonts w:hint="eastAsia"/>
          <w:color w:val="auto"/>
          <w:lang w:val="en-US" w:eastAsia="zh-CN"/>
        </w:rPr>
      </w:pPr>
    </w:p>
    <w:p w14:paraId="6A6D01BB">
      <w:pPr>
        <w:pStyle w:val="3"/>
        <w:keepNext w:val="0"/>
        <w:keepLines w:val="0"/>
        <w:widowControl/>
        <w:suppressLineNumbers w:val="0"/>
        <w:rPr>
          <w:rFonts w:hint="eastAsia"/>
          <w:color w:val="auto"/>
          <w:lang w:val="en-US" w:eastAsia="zh-CN"/>
        </w:rPr>
      </w:pPr>
    </w:p>
    <w:p w14:paraId="0124E4C1">
      <w:pPr>
        <w:pStyle w:val="3"/>
        <w:keepNext w:val="0"/>
        <w:keepLines w:val="0"/>
        <w:widowControl/>
        <w:suppressLineNumbers w:val="0"/>
        <w:rPr>
          <w:rFonts w:hint="eastAsia"/>
          <w:color w:val="auto"/>
          <w:lang w:val="en-US" w:eastAsia="zh-CN"/>
        </w:rPr>
      </w:pPr>
    </w:p>
    <w:p w14:paraId="3A9AC0DF">
      <w:pPr>
        <w:pStyle w:val="3"/>
        <w:keepNext w:val="0"/>
        <w:keepLines w:val="0"/>
        <w:widowControl/>
        <w:suppressLineNumbers w:val="0"/>
        <w:rPr>
          <w:rFonts w:hint="eastAsia"/>
          <w:color w:val="auto"/>
          <w:lang w:val="en-US" w:eastAsia="zh-CN"/>
        </w:rPr>
      </w:pPr>
    </w:p>
    <w:p w14:paraId="06727BB2">
      <w:pPr>
        <w:pStyle w:val="3"/>
        <w:keepNext w:val="0"/>
        <w:keepLines w:val="0"/>
        <w:widowControl/>
        <w:suppressLineNumbers w:val="0"/>
        <w:rPr>
          <w:rFonts w:hint="eastAsia"/>
          <w:color w:val="auto"/>
          <w:lang w:val="en-US" w:eastAsia="zh-CN"/>
        </w:rPr>
      </w:pPr>
    </w:p>
    <w:p w14:paraId="43CDA236">
      <w:pPr>
        <w:pStyle w:val="3"/>
        <w:keepNext w:val="0"/>
        <w:keepLines w:val="0"/>
        <w:widowControl/>
        <w:suppressLineNumbers w:val="0"/>
        <w:rPr>
          <w:rFonts w:hint="eastAsia"/>
          <w:color w:val="auto"/>
          <w:lang w:val="en-US" w:eastAsia="zh-CN"/>
        </w:rPr>
      </w:pPr>
    </w:p>
    <w:p w14:paraId="49B4F490">
      <w:pPr>
        <w:pStyle w:val="3"/>
        <w:keepNext w:val="0"/>
        <w:keepLines w:val="0"/>
        <w:widowControl/>
        <w:suppressLineNumbers w:val="0"/>
        <w:rPr>
          <w:rFonts w:hint="eastAsia"/>
          <w:color w:val="auto"/>
          <w:lang w:val="en-US" w:eastAsia="zh-CN"/>
        </w:rPr>
      </w:pPr>
    </w:p>
    <w:p w14:paraId="5D537A75">
      <w:pPr>
        <w:pStyle w:val="3"/>
        <w:keepNext w:val="0"/>
        <w:keepLines w:val="0"/>
        <w:widowControl/>
        <w:suppressLineNumbers w:val="0"/>
        <w:rPr>
          <w:rFonts w:hint="eastAsia"/>
          <w:color w:val="auto"/>
          <w:lang w:val="en-US" w:eastAsia="zh-CN"/>
        </w:rPr>
      </w:pPr>
    </w:p>
    <w:p w14:paraId="7AED2391">
      <w:pPr>
        <w:pStyle w:val="3"/>
        <w:keepNext w:val="0"/>
        <w:keepLines w:val="0"/>
        <w:widowControl/>
        <w:suppressLineNumbers w:val="0"/>
        <w:rPr>
          <w:rFonts w:hint="eastAsia"/>
          <w:color w:val="auto"/>
          <w:lang w:val="en-US" w:eastAsia="zh-CN"/>
        </w:rPr>
      </w:pPr>
    </w:p>
    <w:p w14:paraId="6DDED9FC">
      <w:pPr>
        <w:pStyle w:val="3"/>
        <w:keepNext w:val="0"/>
        <w:keepLines w:val="0"/>
        <w:widowControl/>
        <w:suppressLineNumbers w:val="0"/>
        <w:rPr>
          <w:rFonts w:hint="eastAsia"/>
          <w:color w:val="auto"/>
          <w:lang w:val="en-US" w:eastAsia="zh-CN"/>
        </w:rPr>
      </w:pPr>
    </w:p>
    <w:p w14:paraId="6D33FEEB">
      <w:pPr>
        <w:pStyle w:val="3"/>
        <w:keepNext w:val="0"/>
        <w:keepLines w:val="0"/>
        <w:widowControl/>
        <w:suppressLineNumbers w:val="0"/>
        <w:rPr>
          <w:rFonts w:hint="eastAsia"/>
          <w:color w:val="auto"/>
          <w:lang w:val="en-US" w:eastAsia="zh-CN"/>
        </w:rPr>
      </w:pPr>
    </w:p>
    <w:p w14:paraId="1C7CDA65">
      <w:pPr>
        <w:pStyle w:val="3"/>
        <w:keepNext w:val="0"/>
        <w:keepLines w:val="0"/>
        <w:widowControl/>
        <w:suppressLineNumbers w:val="0"/>
        <w:rPr>
          <w:rFonts w:hint="eastAsia"/>
          <w:color w:val="auto"/>
          <w:lang w:val="en-US" w:eastAsia="zh-CN"/>
        </w:rPr>
      </w:pPr>
    </w:p>
    <w:p w14:paraId="59A4EA56">
      <w:pPr>
        <w:pStyle w:val="3"/>
        <w:keepNext w:val="0"/>
        <w:keepLines w:val="0"/>
        <w:widowControl/>
        <w:suppressLineNumbers w:val="0"/>
        <w:rPr>
          <w:rFonts w:hint="eastAsia"/>
          <w:color w:val="auto"/>
          <w:lang w:val="en-US" w:eastAsia="zh-CN"/>
        </w:rPr>
      </w:pPr>
      <w:r>
        <w:rPr>
          <w:rFonts w:hint="eastAsia"/>
          <w:color w:val="auto"/>
          <w:lang w:val="en-US" w:eastAsia="zh-CN"/>
        </w:rPr>
        <w:t>Part 4</w:t>
      </w:r>
    </w:p>
    <w:p w14:paraId="0A605E31">
      <w:pPr>
        <w:rPr>
          <w:rFonts w:hint="eastAsia"/>
          <w:color w:val="auto"/>
          <w:lang w:val="en-US" w:eastAsia="zh-CN"/>
        </w:rPr>
      </w:pPr>
      <w:r>
        <w:rPr>
          <w:rFonts w:hint="eastAsia"/>
          <w:color w:val="auto"/>
          <w:lang w:val="en-US" w:eastAsia="zh-CN"/>
        </w:rPr>
        <w:drawing>
          <wp:inline distT="0" distB="0" distL="114300" distR="114300">
            <wp:extent cx="5477510" cy="1277620"/>
            <wp:effectExtent l="0" t="0" r="8890" b="17780"/>
            <wp:docPr id="1" name="Picture 1" descr="Screenshot 2025-04-18 at 23.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4-18 at 23.04.04"/>
                    <pic:cNvPicPr>
                      <a:picLocks noChangeAspect="1"/>
                    </pic:cNvPicPr>
                  </pic:nvPicPr>
                  <pic:blipFill>
                    <a:blip r:embed="rId9"/>
                    <a:stretch>
                      <a:fillRect/>
                    </a:stretch>
                  </pic:blipFill>
                  <pic:spPr>
                    <a:xfrm>
                      <a:off x="0" y="0"/>
                      <a:ext cx="5477510" cy="1277620"/>
                    </a:xfrm>
                    <a:prstGeom prst="rect">
                      <a:avLst/>
                    </a:prstGeom>
                  </pic:spPr>
                </pic:pic>
              </a:graphicData>
            </a:graphic>
          </wp:inline>
        </w:drawing>
      </w:r>
    </w:p>
    <w:p w14:paraId="4A78F7DB">
      <w:pPr>
        <w:spacing w:line="240" w:lineRule="auto"/>
        <w:jc w:val="distribute"/>
        <w:rPr>
          <w:rFonts w:hint="eastAsia"/>
          <w:color w:val="auto"/>
          <w:sz w:val="16"/>
          <w:szCs w:val="16"/>
          <w:lang w:val="en-US" w:eastAsia="zh-CN"/>
        </w:rPr>
      </w:pPr>
      <w:r>
        <w:rPr>
          <w:rFonts w:hint="eastAsia"/>
          <w:color w:val="auto"/>
          <w:sz w:val="16"/>
          <w:szCs w:val="16"/>
          <w:lang w:val="en-US" w:eastAsia="zh-CN"/>
        </w:rPr>
        <w:t>Summary of Best Fitted Distributions:</w:t>
      </w:r>
    </w:p>
    <w:p w14:paraId="59FAD2B9">
      <w:pPr>
        <w:spacing w:line="240" w:lineRule="auto"/>
        <w:jc w:val="distribute"/>
        <w:rPr>
          <w:rFonts w:hint="eastAsia"/>
          <w:color w:val="auto"/>
          <w:sz w:val="16"/>
          <w:szCs w:val="16"/>
          <w:lang w:val="en-US" w:eastAsia="zh-CN"/>
        </w:rPr>
      </w:pPr>
      <w:r>
        <w:rPr>
          <w:rFonts w:hint="eastAsia"/>
          <w:color w:val="auto"/>
          <w:sz w:val="16"/>
          <w:szCs w:val="16"/>
          <w:lang w:val="en-US" w:eastAsia="zh-CN"/>
        </w:rPr>
        <w:t>================================================================================</w:t>
      </w:r>
    </w:p>
    <w:p w14:paraId="41D5FFFB">
      <w:pPr>
        <w:spacing w:line="240" w:lineRule="auto"/>
        <w:jc w:val="distribute"/>
        <w:rPr>
          <w:rFonts w:hint="eastAsia"/>
          <w:color w:val="auto"/>
          <w:sz w:val="16"/>
          <w:szCs w:val="16"/>
          <w:lang w:val="en-US" w:eastAsia="zh-CN"/>
        </w:rPr>
      </w:pPr>
      <w:r>
        <w:rPr>
          <w:rFonts w:hint="eastAsia"/>
          <w:color w:val="auto"/>
          <w:sz w:val="16"/>
          <w:szCs w:val="16"/>
          <w:lang w:val="en-US" w:eastAsia="zh-CN"/>
        </w:rPr>
        <w:t xml:space="preserve">Symbol   Best Model      Parameters                          AIC        BIC       </w:t>
      </w:r>
    </w:p>
    <w:p w14:paraId="1A41C53D">
      <w:pPr>
        <w:spacing w:line="240" w:lineRule="auto"/>
        <w:jc w:val="distribute"/>
        <w:rPr>
          <w:rFonts w:hint="eastAsia"/>
          <w:color w:val="auto"/>
          <w:sz w:val="16"/>
          <w:szCs w:val="16"/>
          <w:lang w:val="en-US" w:eastAsia="zh-CN"/>
        </w:rPr>
      </w:pPr>
      <w:r>
        <w:rPr>
          <w:rFonts w:hint="eastAsia"/>
          <w:color w:val="auto"/>
          <w:sz w:val="16"/>
          <w:szCs w:val="16"/>
          <w:lang w:val="en-US" w:eastAsia="zh-CN"/>
        </w:rPr>
        <w:t>--------------------------------------------------------------------------------</w:t>
      </w:r>
    </w:p>
    <w:p w14:paraId="0F7969DC">
      <w:pPr>
        <w:spacing w:line="240" w:lineRule="auto"/>
        <w:jc w:val="distribute"/>
        <w:rPr>
          <w:rFonts w:hint="eastAsia"/>
          <w:color w:val="auto"/>
          <w:sz w:val="16"/>
          <w:szCs w:val="16"/>
          <w:lang w:val="en-US" w:eastAsia="zh-CN"/>
        </w:rPr>
      </w:pPr>
      <w:r>
        <w:rPr>
          <w:rFonts w:hint="eastAsia"/>
          <w:color w:val="auto"/>
          <w:sz w:val="16"/>
          <w:szCs w:val="16"/>
          <w:lang w:val="en-US" w:eastAsia="zh-CN"/>
        </w:rPr>
        <w:t>SPY      Normal          (np.float64(0.000984995968857643... -1679.7372 -1672.7023</w:t>
      </w:r>
    </w:p>
    <w:p w14:paraId="55DD56E5">
      <w:pPr>
        <w:spacing w:line="240" w:lineRule="auto"/>
        <w:jc w:val="distribute"/>
        <w:rPr>
          <w:rFonts w:hint="eastAsia"/>
          <w:color w:val="auto"/>
          <w:sz w:val="16"/>
          <w:szCs w:val="16"/>
          <w:lang w:val="en-US" w:eastAsia="zh-CN"/>
        </w:rPr>
      </w:pPr>
      <w:r>
        <w:rPr>
          <w:rFonts w:hint="eastAsia"/>
          <w:color w:val="auto"/>
          <w:sz w:val="16"/>
          <w:szCs w:val="16"/>
          <w:lang w:val="en-US" w:eastAsia="zh-CN"/>
        </w:rPr>
        <w:t>AAPL     GeneralizedT    (np.float64(7.327051838491508), ... -1476.9263 -1466.3740</w:t>
      </w:r>
    </w:p>
    <w:p w14:paraId="7AA205AC">
      <w:pPr>
        <w:spacing w:line="240" w:lineRule="auto"/>
        <w:jc w:val="distribute"/>
        <w:rPr>
          <w:rFonts w:hint="eastAsia"/>
          <w:color w:val="auto"/>
          <w:sz w:val="16"/>
          <w:szCs w:val="16"/>
          <w:lang w:val="en-US" w:eastAsia="zh-CN"/>
        </w:rPr>
      </w:pPr>
      <w:r>
        <w:rPr>
          <w:rFonts w:hint="eastAsia"/>
          <w:color w:val="auto"/>
          <w:sz w:val="16"/>
          <w:szCs w:val="16"/>
          <w:lang w:val="en-US" w:eastAsia="zh-CN"/>
        </w:rPr>
        <w:t>NVDA     GeneralizedT    (np.float64(4.7894259335685145),... -1086.8051 -1076.2528</w:t>
      </w:r>
    </w:p>
    <w:p w14:paraId="0C30CF7D">
      <w:pPr>
        <w:spacing w:line="240" w:lineRule="auto"/>
        <w:jc w:val="distribute"/>
        <w:rPr>
          <w:rFonts w:hint="eastAsia"/>
          <w:color w:val="auto"/>
          <w:sz w:val="16"/>
          <w:szCs w:val="16"/>
          <w:lang w:val="en-US" w:eastAsia="zh-CN"/>
        </w:rPr>
      </w:pPr>
      <w:r>
        <w:rPr>
          <w:rFonts w:hint="eastAsia"/>
          <w:color w:val="auto"/>
          <w:sz w:val="16"/>
          <w:szCs w:val="16"/>
          <w:lang w:val="en-US" w:eastAsia="zh-CN"/>
        </w:rPr>
        <w:t>MSFT     GeneralizedT    (np.float64(7.771869491862947), ... -1361.0912 -1350.5389</w:t>
      </w:r>
    </w:p>
    <w:p w14:paraId="4D65DD41">
      <w:pPr>
        <w:spacing w:line="240" w:lineRule="auto"/>
        <w:jc w:val="distribute"/>
        <w:rPr>
          <w:rFonts w:hint="eastAsia"/>
          <w:color w:val="auto"/>
          <w:sz w:val="16"/>
          <w:szCs w:val="16"/>
          <w:lang w:val="en-US" w:eastAsia="zh-CN"/>
        </w:rPr>
      </w:pPr>
      <w:r>
        <w:rPr>
          <w:rFonts w:hint="eastAsia"/>
          <w:color w:val="auto"/>
          <w:sz w:val="16"/>
          <w:szCs w:val="16"/>
          <w:lang w:val="en-US" w:eastAsia="zh-CN"/>
        </w:rPr>
        <w:t>AMZN     GeneralizedT    (np.float64(5.921858678408782), ... -1232.2503 -1221.6980</w:t>
      </w:r>
    </w:p>
    <w:p w14:paraId="64920C56">
      <w:pPr>
        <w:spacing w:line="240" w:lineRule="auto"/>
        <w:jc w:val="distribute"/>
        <w:rPr>
          <w:rFonts w:hint="eastAsia"/>
          <w:color w:val="auto"/>
          <w:sz w:val="16"/>
          <w:szCs w:val="16"/>
          <w:lang w:val="en-US" w:eastAsia="zh-CN"/>
        </w:rPr>
      </w:pPr>
      <w:r>
        <w:rPr>
          <w:rFonts w:hint="eastAsia"/>
          <w:color w:val="auto"/>
          <w:sz w:val="16"/>
          <w:szCs w:val="16"/>
          <w:lang w:val="en-US" w:eastAsia="zh-CN"/>
        </w:rPr>
        <w:t>META     GeneralizedT    (np.float64(4.219603763694025), ... -1232.5420 -1221.9897</w:t>
      </w:r>
    </w:p>
    <w:p w14:paraId="6F6234CA">
      <w:pPr>
        <w:spacing w:line="240" w:lineRule="auto"/>
        <w:jc w:val="distribute"/>
        <w:rPr>
          <w:rFonts w:hint="eastAsia"/>
          <w:color w:val="auto"/>
          <w:sz w:val="16"/>
          <w:szCs w:val="16"/>
          <w:lang w:val="en-US" w:eastAsia="zh-CN"/>
        </w:rPr>
      </w:pPr>
      <w:r>
        <w:rPr>
          <w:rFonts w:hint="eastAsia"/>
          <w:color w:val="auto"/>
          <w:sz w:val="16"/>
          <w:szCs w:val="16"/>
          <w:lang w:val="en-US" w:eastAsia="zh-CN"/>
        </w:rPr>
        <w:t>GOOGL    GeneralizedT    (np.float64(4.420042577129786), ... -1288.6210 -1278.0687</w:t>
      </w:r>
    </w:p>
    <w:p w14:paraId="2B3AF22D">
      <w:pPr>
        <w:spacing w:line="240" w:lineRule="auto"/>
        <w:jc w:val="distribute"/>
        <w:rPr>
          <w:rFonts w:hint="eastAsia"/>
          <w:color w:val="auto"/>
          <w:sz w:val="16"/>
          <w:szCs w:val="16"/>
          <w:lang w:val="en-US" w:eastAsia="zh-CN"/>
        </w:rPr>
      </w:pPr>
      <w:r>
        <w:rPr>
          <w:rFonts w:hint="eastAsia"/>
          <w:color w:val="auto"/>
          <w:sz w:val="16"/>
          <w:szCs w:val="16"/>
          <w:lang w:val="en-US" w:eastAsia="zh-CN"/>
        </w:rPr>
        <w:t>AVGO     GeneralizedT    (np.float64(4.301679167226009), ... -1267.4773 -1256.9250</w:t>
      </w:r>
    </w:p>
    <w:p w14:paraId="3A3A8689">
      <w:pPr>
        <w:spacing w:line="240" w:lineRule="auto"/>
        <w:jc w:val="distribute"/>
        <w:rPr>
          <w:rFonts w:hint="eastAsia"/>
          <w:color w:val="auto"/>
          <w:sz w:val="16"/>
          <w:szCs w:val="16"/>
          <w:lang w:val="en-US" w:eastAsia="zh-CN"/>
        </w:rPr>
      </w:pPr>
      <w:r>
        <w:rPr>
          <w:rFonts w:hint="eastAsia"/>
          <w:color w:val="auto"/>
          <w:sz w:val="16"/>
          <w:szCs w:val="16"/>
          <w:lang w:val="en-US" w:eastAsia="zh-CN"/>
        </w:rPr>
        <w:t xml:space="preserve">TSLA     GeneralizedT    (np.float64(6.491179532324071), ... -992.0883  -981.5359 </w:t>
      </w:r>
    </w:p>
    <w:p w14:paraId="784E8C33">
      <w:pPr>
        <w:spacing w:line="240" w:lineRule="auto"/>
        <w:jc w:val="distribute"/>
        <w:rPr>
          <w:rFonts w:hint="eastAsia"/>
          <w:color w:val="auto"/>
          <w:sz w:val="16"/>
          <w:szCs w:val="16"/>
          <w:lang w:val="en-US" w:eastAsia="zh-CN"/>
        </w:rPr>
      </w:pPr>
      <w:r>
        <w:rPr>
          <w:rFonts w:hint="eastAsia"/>
          <w:color w:val="auto"/>
          <w:sz w:val="16"/>
          <w:szCs w:val="16"/>
          <w:lang w:val="en-US" w:eastAsia="zh-CN"/>
        </w:rPr>
        <w:t>GOOG     GeneralizedT    (np.float64(4.593602737714918), ... -1283.0645 -1272.5121</w:t>
      </w:r>
    </w:p>
    <w:p w14:paraId="6BEE81E8">
      <w:pPr>
        <w:spacing w:line="240" w:lineRule="auto"/>
        <w:jc w:val="distribute"/>
        <w:rPr>
          <w:rFonts w:hint="eastAsia"/>
          <w:color w:val="auto"/>
          <w:sz w:val="16"/>
          <w:szCs w:val="16"/>
          <w:lang w:val="en-US" w:eastAsia="zh-CN"/>
        </w:rPr>
      </w:pPr>
      <w:r>
        <w:rPr>
          <w:rFonts w:hint="eastAsia"/>
          <w:color w:val="auto"/>
          <w:sz w:val="16"/>
          <w:szCs w:val="16"/>
          <w:lang w:val="en-US" w:eastAsia="zh-CN"/>
        </w:rPr>
        <w:t>BRK-B    GeneralizedT    (np.float64(6.7452469646759425),... -1665.2640 -1654.7116</w:t>
      </w:r>
    </w:p>
    <w:p w14:paraId="19AC1405">
      <w:pPr>
        <w:spacing w:line="240" w:lineRule="auto"/>
        <w:jc w:val="distribute"/>
        <w:rPr>
          <w:rFonts w:hint="eastAsia"/>
          <w:color w:val="auto"/>
          <w:sz w:val="16"/>
          <w:szCs w:val="16"/>
          <w:lang w:val="en-US" w:eastAsia="zh-CN"/>
        </w:rPr>
      </w:pPr>
      <w:r>
        <w:rPr>
          <w:rFonts w:hint="eastAsia"/>
          <w:color w:val="auto"/>
          <w:sz w:val="16"/>
          <w:szCs w:val="16"/>
          <w:lang w:val="en-US" w:eastAsia="zh-CN"/>
        </w:rPr>
        <w:t>JPM      GeneralizedT    (np.float64(3.5188069243646165),... -1492.3959 -1481.8435</w:t>
      </w:r>
    </w:p>
    <w:p w14:paraId="76B780EE">
      <w:pPr>
        <w:spacing w:line="240" w:lineRule="auto"/>
        <w:jc w:val="distribute"/>
        <w:rPr>
          <w:rFonts w:hint="eastAsia"/>
          <w:color w:val="auto"/>
          <w:sz w:val="16"/>
          <w:szCs w:val="16"/>
          <w:lang w:val="en-US" w:eastAsia="zh-CN"/>
        </w:rPr>
      </w:pPr>
      <w:r>
        <w:rPr>
          <w:rFonts w:hint="eastAsia"/>
          <w:color w:val="auto"/>
          <w:sz w:val="16"/>
          <w:szCs w:val="16"/>
          <w:lang w:val="en-US" w:eastAsia="zh-CN"/>
        </w:rPr>
        <w:t>LLY      GeneralizedT    (np.float64(3.2335881680585863),... -1359.9131 -1349.3608</w:t>
      </w:r>
    </w:p>
    <w:p w14:paraId="7A656AED">
      <w:pPr>
        <w:spacing w:line="240" w:lineRule="auto"/>
        <w:jc w:val="distribute"/>
        <w:rPr>
          <w:rFonts w:hint="eastAsia"/>
          <w:color w:val="auto"/>
          <w:sz w:val="16"/>
          <w:szCs w:val="16"/>
          <w:lang w:val="en-US" w:eastAsia="zh-CN"/>
        </w:rPr>
      </w:pPr>
      <w:r>
        <w:rPr>
          <w:rFonts w:hint="eastAsia"/>
          <w:color w:val="auto"/>
          <w:sz w:val="16"/>
          <w:szCs w:val="16"/>
          <w:lang w:val="en-US" w:eastAsia="zh-CN"/>
        </w:rPr>
        <w:t>V        GeneralizedT    (np.float64(9.519656627518527), ... -1594.6753 -1584.1229</w:t>
      </w:r>
    </w:p>
    <w:p w14:paraId="762B8B8F">
      <w:pPr>
        <w:spacing w:line="240" w:lineRule="auto"/>
        <w:jc w:val="distribute"/>
        <w:rPr>
          <w:rFonts w:hint="eastAsia"/>
          <w:color w:val="auto"/>
          <w:sz w:val="16"/>
          <w:szCs w:val="16"/>
          <w:lang w:val="en-US" w:eastAsia="zh-CN"/>
        </w:rPr>
      </w:pPr>
      <w:r>
        <w:rPr>
          <w:rFonts w:hint="eastAsia"/>
          <w:color w:val="auto"/>
          <w:sz w:val="16"/>
          <w:szCs w:val="16"/>
          <w:lang w:val="en-US" w:eastAsia="zh-CN"/>
        </w:rPr>
        <w:t>XOM      GeneralizedT    (np.float64(7.88072967197931), n... -1364.0375 -1353.4852</w:t>
      </w:r>
    </w:p>
    <w:p w14:paraId="4EA98307">
      <w:pPr>
        <w:spacing w:line="240" w:lineRule="auto"/>
        <w:jc w:val="distribute"/>
        <w:rPr>
          <w:rFonts w:hint="eastAsia"/>
          <w:color w:val="auto"/>
          <w:sz w:val="16"/>
          <w:szCs w:val="16"/>
          <w:lang w:val="en-US" w:eastAsia="zh-CN"/>
        </w:rPr>
      </w:pPr>
      <w:r>
        <w:rPr>
          <w:rFonts w:hint="eastAsia"/>
          <w:color w:val="auto"/>
          <w:sz w:val="16"/>
          <w:szCs w:val="16"/>
          <w:lang w:val="en-US" w:eastAsia="zh-CN"/>
        </w:rPr>
        <w:t>UNH      GeneralizedT    (np.float64(3.371018433820346), ... -1495.4633 -1484.9110</w:t>
      </w:r>
    </w:p>
    <w:p w14:paraId="44F80454">
      <w:pPr>
        <w:spacing w:line="240" w:lineRule="auto"/>
        <w:jc w:val="distribute"/>
        <w:rPr>
          <w:rFonts w:hint="eastAsia"/>
          <w:color w:val="auto"/>
          <w:sz w:val="16"/>
          <w:szCs w:val="16"/>
          <w:lang w:val="en-US" w:eastAsia="zh-CN"/>
        </w:rPr>
      </w:pPr>
      <w:r>
        <w:rPr>
          <w:rFonts w:hint="eastAsia"/>
          <w:color w:val="auto"/>
          <w:sz w:val="16"/>
          <w:szCs w:val="16"/>
          <w:lang w:val="en-US" w:eastAsia="zh-CN"/>
        </w:rPr>
        <w:t>MA       GeneralizedT    (np.float64(6.468192091737563), ... -1559.7485 -1549.1962</w:t>
      </w:r>
    </w:p>
    <w:p w14:paraId="394EE32C">
      <w:pPr>
        <w:spacing w:line="240" w:lineRule="auto"/>
        <w:jc w:val="distribute"/>
        <w:rPr>
          <w:rFonts w:hint="eastAsia"/>
          <w:color w:val="auto"/>
          <w:sz w:val="16"/>
          <w:szCs w:val="16"/>
          <w:lang w:val="en-US" w:eastAsia="zh-CN"/>
        </w:rPr>
      </w:pPr>
      <w:r>
        <w:rPr>
          <w:rFonts w:hint="eastAsia"/>
          <w:color w:val="auto"/>
          <w:sz w:val="16"/>
          <w:szCs w:val="16"/>
          <w:lang w:val="en-US" w:eastAsia="zh-CN"/>
        </w:rPr>
        <w:t>COST     GeneralizedT    (np.float64(4.621162605708779), ... -1519.0883 -1508.5360</w:t>
      </w:r>
    </w:p>
    <w:p w14:paraId="18904E93">
      <w:pPr>
        <w:spacing w:line="240" w:lineRule="auto"/>
        <w:jc w:val="distribute"/>
        <w:rPr>
          <w:rFonts w:hint="eastAsia"/>
          <w:color w:val="auto"/>
          <w:sz w:val="16"/>
          <w:szCs w:val="16"/>
          <w:lang w:val="en-US" w:eastAsia="zh-CN"/>
        </w:rPr>
      </w:pPr>
      <w:r>
        <w:rPr>
          <w:rFonts w:hint="eastAsia"/>
          <w:color w:val="auto"/>
          <w:sz w:val="16"/>
          <w:szCs w:val="16"/>
          <w:lang w:val="en-US" w:eastAsia="zh-CN"/>
        </w:rPr>
        <w:t>PG       GeneralizedT    (np.float64(5.519839122112227), ... -1625.1328 -1614.5804</w:t>
      </w:r>
    </w:p>
    <w:p w14:paraId="72522250">
      <w:pPr>
        <w:spacing w:line="240" w:lineRule="auto"/>
        <w:jc w:val="distribute"/>
        <w:rPr>
          <w:rFonts w:hint="eastAsia"/>
          <w:color w:val="auto"/>
          <w:sz w:val="16"/>
          <w:szCs w:val="16"/>
          <w:lang w:val="en-US" w:eastAsia="zh-CN"/>
        </w:rPr>
      </w:pPr>
      <w:r>
        <w:rPr>
          <w:rFonts w:hint="eastAsia"/>
          <w:color w:val="auto"/>
          <w:sz w:val="16"/>
          <w:szCs w:val="16"/>
          <w:lang w:val="en-US" w:eastAsia="zh-CN"/>
        </w:rPr>
        <w:t>WMT      GeneralizedT    (np.float64(6.0450672562458365),... -1643.4735 -1632.9211</w:t>
      </w:r>
    </w:p>
    <w:p w14:paraId="1E73713B">
      <w:pPr>
        <w:spacing w:line="240" w:lineRule="auto"/>
        <w:jc w:val="distribute"/>
        <w:rPr>
          <w:rFonts w:hint="eastAsia"/>
          <w:color w:val="auto"/>
          <w:sz w:val="16"/>
          <w:szCs w:val="16"/>
          <w:lang w:val="en-US" w:eastAsia="zh-CN"/>
        </w:rPr>
      </w:pPr>
      <w:r>
        <w:rPr>
          <w:rFonts w:hint="eastAsia"/>
          <w:color w:val="auto"/>
          <w:sz w:val="16"/>
          <w:szCs w:val="16"/>
          <w:lang w:val="en-US" w:eastAsia="zh-CN"/>
        </w:rPr>
        <w:t>HD       GeneralizedT    (np.float64(4.5350878496136495),... -1455.5225 -1444.9701</w:t>
      </w:r>
    </w:p>
    <w:p w14:paraId="6B1F1F07">
      <w:pPr>
        <w:spacing w:line="240" w:lineRule="auto"/>
        <w:jc w:val="distribute"/>
        <w:rPr>
          <w:rFonts w:hint="eastAsia"/>
          <w:color w:val="auto"/>
          <w:sz w:val="16"/>
          <w:szCs w:val="16"/>
          <w:lang w:val="en-US" w:eastAsia="zh-CN"/>
        </w:rPr>
      </w:pPr>
      <w:r>
        <w:rPr>
          <w:rFonts w:hint="eastAsia"/>
          <w:color w:val="auto"/>
          <w:sz w:val="16"/>
          <w:szCs w:val="16"/>
          <w:lang w:val="en-US" w:eastAsia="zh-CN"/>
        </w:rPr>
        <w:t>NFLX     GeneralizedT    (np.float64(3.644841361650238), ... -1213.5910 -1203.0386</w:t>
      </w:r>
    </w:p>
    <w:p w14:paraId="29457A70">
      <w:pPr>
        <w:spacing w:line="240" w:lineRule="auto"/>
        <w:jc w:val="distribute"/>
        <w:rPr>
          <w:rFonts w:hint="eastAsia"/>
          <w:color w:val="auto"/>
          <w:sz w:val="16"/>
          <w:szCs w:val="16"/>
          <w:lang w:val="en-US" w:eastAsia="zh-CN"/>
        </w:rPr>
      </w:pPr>
      <w:r>
        <w:rPr>
          <w:rFonts w:hint="eastAsia"/>
          <w:color w:val="auto"/>
          <w:sz w:val="16"/>
          <w:szCs w:val="16"/>
          <w:lang w:val="en-US" w:eastAsia="zh-CN"/>
        </w:rPr>
        <w:t>JNJ      GeneralizedT    (np.float64(3.6050382592772507),... -1612.0728 -1601.5204</w:t>
      </w:r>
    </w:p>
    <w:p w14:paraId="45F1773C">
      <w:pPr>
        <w:spacing w:line="240" w:lineRule="auto"/>
        <w:jc w:val="distribute"/>
        <w:rPr>
          <w:rFonts w:hint="eastAsia"/>
          <w:color w:val="auto"/>
          <w:sz w:val="16"/>
          <w:szCs w:val="16"/>
          <w:lang w:val="en-US" w:eastAsia="zh-CN"/>
        </w:rPr>
      </w:pPr>
      <w:r>
        <w:rPr>
          <w:rFonts w:hint="eastAsia"/>
          <w:color w:val="auto"/>
          <w:sz w:val="16"/>
          <w:szCs w:val="16"/>
          <w:lang w:val="en-US" w:eastAsia="zh-CN"/>
        </w:rPr>
        <w:t>ABBV     GeneralizedT    (np.float64(4.019556093102607), ... -1522.5965 -1512.0441</w:t>
      </w:r>
    </w:p>
    <w:p w14:paraId="468BE287">
      <w:pPr>
        <w:spacing w:line="240" w:lineRule="auto"/>
        <w:jc w:val="distribute"/>
        <w:rPr>
          <w:rFonts w:hint="eastAsia"/>
          <w:color w:val="auto"/>
          <w:sz w:val="16"/>
          <w:szCs w:val="16"/>
          <w:lang w:val="en-US" w:eastAsia="zh-CN"/>
        </w:rPr>
      </w:pPr>
      <w:r>
        <w:rPr>
          <w:rFonts w:hint="eastAsia"/>
          <w:color w:val="auto"/>
          <w:sz w:val="16"/>
          <w:szCs w:val="16"/>
          <w:lang w:val="en-US" w:eastAsia="zh-CN"/>
        </w:rPr>
        <w:t>CRM      GeneralizedT    (np.float64(5.107222552534822), ... -1307.1806 -1296.6283</w:t>
      </w:r>
    </w:p>
    <w:p w14:paraId="565EA878">
      <w:pPr>
        <w:spacing w:line="240" w:lineRule="auto"/>
        <w:jc w:val="distribute"/>
        <w:rPr>
          <w:rFonts w:hint="eastAsia"/>
          <w:color w:val="auto"/>
          <w:sz w:val="16"/>
          <w:szCs w:val="16"/>
          <w:lang w:val="en-US" w:eastAsia="zh-CN"/>
        </w:rPr>
      </w:pPr>
      <w:r>
        <w:rPr>
          <w:rFonts w:hint="eastAsia"/>
          <w:color w:val="auto"/>
          <w:sz w:val="16"/>
          <w:szCs w:val="16"/>
          <w:lang w:val="en-US" w:eastAsia="zh-CN"/>
        </w:rPr>
        <w:t>BAC      GeneralizedT    (np.float64(4.267520787637019), ... -1338.3414 -1327.7890</w:t>
      </w:r>
    </w:p>
    <w:p w14:paraId="3C6C9A69">
      <w:pPr>
        <w:spacing w:line="240" w:lineRule="auto"/>
        <w:jc w:val="distribute"/>
        <w:rPr>
          <w:rFonts w:hint="eastAsia"/>
          <w:color w:val="auto"/>
          <w:sz w:val="16"/>
          <w:szCs w:val="16"/>
          <w:lang w:val="en-US" w:eastAsia="zh-CN"/>
        </w:rPr>
      </w:pPr>
      <w:r>
        <w:rPr>
          <w:rFonts w:hint="eastAsia"/>
          <w:color w:val="auto"/>
          <w:sz w:val="16"/>
          <w:szCs w:val="16"/>
          <w:lang w:val="en-US" w:eastAsia="zh-CN"/>
        </w:rPr>
        <w:t>ORCL     GeneralizedT    (np.float64(3.081850436424118), ... -1369.4416 -1358.8892</w:t>
      </w:r>
    </w:p>
    <w:p w14:paraId="01E09639">
      <w:pPr>
        <w:spacing w:line="240" w:lineRule="auto"/>
        <w:jc w:val="distribute"/>
        <w:rPr>
          <w:rFonts w:hint="eastAsia"/>
          <w:color w:val="auto"/>
          <w:sz w:val="16"/>
          <w:szCs w:val="16"/>
          <w:lang w:val="en-US" w:eastAsia="zh-CN"/>
        </w:rPr>
      </w:pPr>
      <w:r>
        <w:rPr>
          <w:rFonts w:hint="eastAsia"/>
          <w:color w:val="auto"/>
          <w:sz w:val="16"/>
          <w:szCs w:val="16"/>
          <w:lang w:val="en-US" w:eastAsia="zh-CN"/>
        </w:rPr>
        <w:t>MRK      GeneralizedT    (np.float64(8.068428120841219), ... -1501.3811 -1490.8287</w:t>
      </w:r>
    </w:p>
    <w:p w14:paraId="6FB9FD99">
      <w:pPr>
        <w:spacing w:line="240" w:lineRule="auto"/>
        <w:jc w:val="distribute"/>
        <w:rPr>
          <w:rFonts w:hint="eastAsia"/>
          <w:color w:val="auto"/>
          <w:sz w:val="16"/>
          <w:szCs w:val="16"/>
          <w:lang w:val="en-US" w:eastAsia="zh-CN"/>
        </w:rPr>
      </w:pPr>
      <w:r>
        <w:rPr>
          <w:rFonts w:hint="eastAsia"/>
          <w:color w:val="auto"/>
          <w:sz w:val="16"/>
          <w:szCs w:val="16"/>
          <w:lang w:val="en-US" w:eastAsia="zh-CN"/>
        </w:rPr>
        <w:t>CVX      GeneralizedT    (np.float64(4.553447312724085), ... -1418.6456 -1408.0932</w:t>
      </w:r>
    </w:p>
    <w:p w14:paraId="13CBF29F">
      <w:pPr>
        <w:spacing w:line="240" w:lineRule="auto"/>
        <w:jc w:val="distribute"/>
        <w:rPr>
          <w:rFonts w:hint="eastAsia"/>
          <w:color w:val="auto"/>
          <w:sz w:val="16"/>
          <w:szCs w:val="16"/>
          <w:lang w:val="en-US" w:eastAsia="zh-CN"/>
        </w:rPr>
      </w:pPr>
      <w:r>
        <w:rPr>
          <w:rFonts w:hint="eastAsia"/>
          <w:color w:val="auto"/>
          <w:sz w:val="16"/>
          <w:szCs w:val="16"/>
          <w:lang w:val="en-US" w:eastAsia="zh-CN"/>
        </w:rPr>
        <w:t>KO       GeneralizedT    (np.float64(5.2154807174783775),... -1690.4399 -1679.8875</w:t>
      </w:r>
    </w:p>
    <w:p w14:paraId="74F35FC3">
      <w:pPr>
        <w:spacing w:line="240" w:lineRule="auto"/>
        <w:jc w:val="distribute"/>
        <w:rPr>
          <w:rFonts w:hint="eastAsia"/>
          <w:color w:val="auto"/>
          <w:sz w:val="16"/>
          <w:szCs w:val="16"/>
          <w:lang w:val="en-US" w:eastAsia="zh-CN"/>
        </w:rPr>
      </w:pPr>
      <w:r>
        <w:rPr>
          <w:rFonts w:hint="eastAsia"/>
          <w:color w:val="auto"/>
          <w:sz w:val="16"/>
          <w:szCs w:val="16"/>
          <w:lang w:val="en-US" w:eastAsia="zh-CN"/>
        </w:rPr>
        <w:t>CSCO     GeneralizedT    (np.float64(3.8949338341651574),... -1528.5820 -1518.0296</w:t>
      </w:r>
    </w:p>
    <w:p w14:paraId="41B3FFFD">
      <w:pPr>
        <w:spacing w:line="240" w:lineRule="auto"/>
        <w:jc w:val="distribute"/>
        <w:rPr>
          <w:rFonts w:hint="eastAsia"/>
          <w:color w:val="auto"/>
          <w:sz w:val="16"/>
          <w:szCs w:val="16"/>
          <w:lang w:val="en-US" w:eastAsia="zh-CN"/>
        </w:rPr>
      </w:pPr>
      <w:r>
        <w:rPr>
          <w:rFonts w:hint="eastAsia"/>
          <w:color w:val="auto"/>
          <w:sz w:val="16"/>
          <w:szCs w:val="16"/>
          <w:lang w:val="en-US" w:eastAsia="zh-CN"/>
        </w:rPr>
        <w:t>WFC      GeneralizedT    (np.float64(5.003669059840126), ... -1320.4719 -1309.9196</w:t>
      </w:r>
    </w:p>
    <w:p w14:paraId="6E9196EA">
      <w:pPr>
        <w:spacing w:line="240" w:lineRule="auto"/>
        <w:jc w:val="distribute"/>
        <w:rPr>
          <w:rFonts w:hint="eastAsia"/>
          <w:color w:val="auto"/>
          <w:sz w:val="16"/>
          <w:szCs w:val="16"/>
          <w:lang w:val="en-US" w:eastAsia="zh-CN"/>
        </w:rPr>
      </w:pPr>
      <w:r>
        <w:rPr>
          <w:rFonts w:hint="eastAsia"/>
          <w:color w:val="auto"/>
          <w:sz w:val="16"/>
          <w:szCs w:val="16"/>
          <w:lang w:val="en-US" w:eastAsia="zh-CN"/>
        </w:rPr>
        <w:t>ACN      GeneralizedT    (np.float64(6.97220211577009), n... -1436.7430 -1426.1906</w:t>
      </w:r>
    </w:p>
    <w:p w14:paraId="0DB44DF0">
      <w:pPr>
        <w:spacing w:line="240" w:lineRule="auto"/>
        <w:jc w:val="distribute"/>
        <w:rPr>
          <w:rFonts w:hint="eastAsia"/>
          <w:color w:val="auto"/>
          <w:sz w:val="16"/>
          <w:szCs w:val="16"/>
          <w:lang w:val="en-US" w:eastAsia="zh-CN"/>
        </w:rPr>
      </w:pPr>
      <w:r>
        <w:rPr>
          <w:rFonts w:hint="eastAsia"/>
          <w:color w:val="auto"/>
          <w:sz w:val="16"/>
          <w:szCs w:val="16"/>
          <w:lang w:val="en-US" w:eastAsia="zh-CN"/>
        </w:rPr>
        <w:t>NOW      GeneralizedT    (np.float64(3.9504261084847876),... -1255.0302 -1244.4779</w:t>
      </w:r>
    </w:p>
    <w:p w14:paraId="3C5197B0">
      <w:pPr>
        <w:spacing w:line="240" w:lineRule="auto"/>
        <w:jc w:val="distribute"/>
        <w:rPr>
          <w:rFonts w:hint="eastAsia"/>
          <w:color w:val="auto"/>
          <w:sz w:val="16"/>
          <w:szCs w:val="16"/>
          <w:lang w:val="en-US" w:eastAsia="zh-CN"/>
        </w:rPr>
      </w:pPr>
      <w:r>
        <w:rPr>
          <w:rFonts w:hint="eastAsia"/>
          <w:color w:val="auto"/>
          <w:sz w:val="16"/>
          <w:szCs w:val="16"/>
          <w:lang w:val="en-US" w:eastAsia="zh-CN"/>
        </w:rPr>
        <w:t>MCD      GeneralizedT    (np.float64(10.042770483140238),... -1648.3481 -1637.7957</w:t>
      </w:r>
    </w:p>
    <w:p w14:paraId="26373CFD">
      <w:pPr>
        <w:spacing w:line="240" w:lineRule="auto"/>
        <w:jc w:val="distribute"/>
        <w:rPr>
          <w:rFonts w:hint="eastAsia"/>
          <w:color w:val="auto"/>
          <w:sz w:val="16"/>
          <w:szCs w:val="16"/>
          <w:lang w:val="en-US" w:eastAsia="zh-CN"/>
        </w:rPr>
      </w:pPr>
      <w:r>
        <w:rPr>
          <w:rFonts w:hint="eastAsia"/>
          <w:color w:val="auto"/>
          <w:sz w:val="16"/>
          <w:szCs w:val="16"/>
          <w:lang w:val="en-US" w:eastAsia="zh-CN"/>
        </w:rPr>
        <w:t>PEP      GeneralizedT    (np.float64(5.804994721603205), ... -1627.7076 -1617.1552</w:t>
      </w:r>
    </w:p>
    <w:p w14:paraId="5177230B">
      <w:pPr>
        <w:spacing w:line="240" w:lineRule="auto"/>
        <w:jc w:val="distribute"/>
        <w:rPr>
          <w:rFonts w:hint="eastAsia"/>
          <w:color w:val="auto"/>
          <w:sz w:val="16"/>
          <w:szCs w:val="16"/>
          <w:lang w:val="en-US" w:eastAsia="zh-CN"/>
        </w:rPr>
      </w:pPr>
      <w:r>
        <w:rPr>
          <w:rFonts w:hint="eastAsia"/>
          <w:color w:val="auto"/>
          <w:sz w:val="16"/>
          <w:szCs w:val="16"/>
          <w:lang w:val="en-US" w:eastAsia="zh-CN"/>
        </w:rPr>
        <w:t>IBM      GeneralizedT    (np.float64(4.815192412828923), ... -1610.0899 -1599.5376</w:t>
      </w:r>
    </w:p>
    <w:p w14:paraId="284D531B">
      <w:pPr>
        <w:spacing w:line="240" w:lineRule="auto"/>
        <w:jc w:val="distribute"/>
        <w:rPr>
          <w:rFonts w:hint="eastAsia"/>
          <w:color w:val="auto"/>
          <w:sz w:val="16"/>
          <w:szCs w:val="16"/>
          <w:lang w:val="en-US" w:eastAsia="zh-CN"/>
        </w:rPr>
      </w:pPr>
      <w:r>
        <w:rPr>
          <w:rFonts w:hint="eastAsia"/>
          <w:color w:val="auto"/>
          <w:sz w:val="16"/>
          <w:szCs w:val="16"/>
          <w:lang w:val="en-US" w:eastAsia="zh-CN"/>
        </w:rPr>
        <w:t>DIS      GeneralizedT    (np.float64(4.908405400049021), ... -1351.3903 -1340.8379</w:t>
      </w:r>
    </w:p>
    <w:p w14:paraId="74FCD1EF">
      <w:pPr>
        <w:spacing w:line="240" w:lineRule="auto"/>
        <w:jc w:val="distribute"/>
        <w:rPr>
          <w:rFonts w:hint="eastAsia"/>
          <w:color w:val="auto"/>
          <w:sz w:val="16"/>
          <w:szCs w:val="16"/>
          <w:lang w:val="en-US" w:eastAsia="zh-CN"/>
        </w:rPr>
      </w:pPr>
      <w:r>
        <w:rPr>
          <w:rFonts w:hint="eastAsia"/>
          <w:color w:val="auto"/>
          <w:sz w:val="16"/>
          <w:szCs w:val="16"/>
          <w:lang w:val="en-US" w:eastAsia="zh-CN"/>
        </w:rPr>
        <w:t>TMO      GeneralizedT    (np.float64(5.160945422659916), ... -1415.8711 -1405.3187</w:t>
      </w:r>
    </w:p>
    <w:p w14:paraId="0318E2F7">
      <w:pPr>
        <w:spacing w:line="240" w:lineRule="auto"/>
        <w:jc w:val="distribute"/>
        <w:rPr>
          <w:rFonts w:hint="eastAsia"/>
          <w:color w:val="auto"/>
          <w:sz w:val="16"/>
          <w:szCs w:val="16"/>
          <w:lang w:val="en-US" w:eastAsia="zh-CN"/>
        </w:rPr>
      </w:pPr>
      <w:r>
        <w:rPr>
          <w:rFonts w:hint="eastAsia"/>
          <w:color w:val="auto"/>
          <w:sz w:val="16"/>
          <w:szCs w:val="16"/>
          <w:lang w:val="en-US" w:eastAsia="zh-CN"/>
        </w:rPr>
        <w:t>LIN      GeneralizedT    (np.float64(3.172833729496785), ... -1507.0656 -1496.5132</w:t>
      </w:r>
    </w:p>
    <w:p w14:paraId="4C3E3F05">
      <w:pPr>
        <w:spacing w:line="240" w:lineRule="auto"/>
        <w:jc w:val="distribute"/>
        <w:rPr>
          <w:rFonts w:hint="eastAsia"/>
          <w:color w:val="auto"/>
          <w:sz w:val="16"/>
          <w:szCs w:val="16"/>
          <w:lang w:val="en-US" w:eastAsia="zh-CN"/>
        </w:rPr>
      </w:pPr>
      <w:r>
        <w:rPr>
          <w:rFonts w:hint="eastAsia"/>
          <w:color w:val="auto"/>
          <w:sz w:val="16"/>
          <w:szCs w:val="16"/>
          <w:lang w:val="en-US" w:eastAsia="zh-CN"/>
        </w:rPr>
        <w:t>ABT      GeneralizedT    (np.float64(6.227416030940623), ... -1500.4155 -1489.8631</w:t>
      </w:r>
    </w:p>
    <w:p w14:paraId="63AFEBEA">
      <w:pPr>
        <w:spacing w:line="240" w:lineRule="auto"/>
        <w:jc w:val="distribute"/>
        <w:rPr>
          <w:rFonts w:hint="eastAsia"/>
          <w:color w:val="auto"/>
          <w:sz w:val="16"/>
          <w:szCs w:val="16"/>
          <w:lang w:val="en-US" w:eastAsia="zh-CN"/>
        </w:rPr>
      </w:pPr>
      <w:r>
        <w:rPr>
          <w:rFonts w:hint="eastAsia"/>
          <w:color w:val="auto"/>
          <w:sz w:val="16"/>
          <w:szCs w:val="16"/>
          <w:lang w:val="en-US" w:eastAsia="zh-CN"/>
        </w:rPr>
        <w:t>AMD      GeneralizedT    (np.float64(4.697518773422056), ... -1062.8431 -1052.2908</w:t>
      </w:r>
    </w:p>
    <w:p w14:paraId="19E23190">
      <w:pPr>
        <w:spacing w:line="240" w:lineRule="auto"/>
        <w:jc w:val="distribute"/>
        <w:rPr>
          <w:rFonts w:hint="eastAsia"/>
          <w:color w:val="auto"/>
          <w:sz w:val="16"/>
          <w:szCs w:val="16"/>
          <w:lang w:val="en-US" w:eastAsia="zh-CN"/>
        </w:rPr>
      </w:pPr>
      <w:r>
        <w:rPr>
          <w:rFonts w:hint="eastAsia"/>
          <w:color w:val="auto"/>
          <w:sz w:val="16"/>
          <w:szCs w:val="16"/>
          <w:lang w:val="en-US" w:eastAsia="zh-CN"/>
        </w:rPr>
        <w:t>ADBE     GeneralizedT    (np.float64(5.878008004417815), ... -1247.8038 -1237.2514</w:t>
      </w:r>
    </w:p>
    <w:p w14:paraId="370ADA26">
      <w:pPr>
        <w:spacing w:line="240" w:lineRule="auto"/>
        <w:jc w:val="distribute"/>
        <w:rPr>
          <w:rFonts w:hint="eastAsia"/>
          <w:color w:val="auto"/>
          <w:sz w:val="16"/>
          <w:szCs w:val="16"/>
          <w:lang w:val="en-US" w:eastAsia="zh-CN"/>
        </w:rPr>
      </w:pPr>
      <w:r>
        <w:rPr>
          <w:rFonts w:hint="eastAsia"/>
          <w:color w:val="auto"/>
          <w:sz w:val="16"/>
          <w:szCs w:val="16"/>
          <w:lang w:val="en-US" w:eastAsia="zh-CN"/>
        </w:rPr>
        <w:t>PM       GeneralizedT    (np.float64(8.156221501601319), ... -1570.1379 -1559.5856</w:t>
      </w:r>
    </w:p>
    <w:p w14:paraId="56852573">
      <w:pPr>
        <w:spacing w:line="240" w:lineRule="auto"/>
        <w:jc w:val="distribute"/>
        <w:rPr>
          <w:rFonts w:hint="eastAsia"/>
          <w:color w:val="auto"/>
          <w:sz w:val="16"/>
          <w:szCs w:val="16"/>
          <w:lang w:val="en-US" w:eastAsia="zh-CN"/>
        </w:rPr>
      </w:pPr>
      <w:r>
        <w:rPr>
          <w:rFonts w:hint="eastAsia"/>
          <w:color w:val="auto"/>
          <w:sz w:val="16"/>
          <w:szCs w:val="16"/>
          <w:lang w:val="en-US" w:eastAsia="zh-CN"/>
        </w:rPr>
        <w:t>ISRG     GeneralizedT    (np.float64(4.700215566441738), ... -1311.5888 -1301.0364</w:t>
      </w:r>
    </w:p>
    <w:p w14:paraId="162ADFF7">
      <w:pPr>
        <w:spacing w:line="240" w:lineRule="auto"/>
        <w:jc w:val="distribute"/>
        <w:rPr>
          <w:rFonts w:hint="eastAsia"/>
          <w:color w:val="auto"/>
          <w:sz w:val="16"/>
          <w:szCs w:val="16"/>
          <w:lang w:val="en-US" w:eastAsia="zh-CN"/>
        </w:rPr>
      </w:pPr>
      <w:r>
        <w:rPr>
          <w:rFonts w:hint="eastAsia"/>
          <w:color w:val="auto"/>
          <w:sz w:val="16"/>
          <w:szCs w:val="16"/>
          <w:lang w:val="en-US" w:eastAsia="zh-CN"/>
        </w:rPr>
        <w:t>GE       SkewNormal      (np.float64(1.8224923433425446),... -1380.8351 -1370.2827</w:t>
      </w:r>
    </w:p>
    <w:p w14:paraId="44061FC8">
      <w:pPr>
        <w:spacing w:line="240" w:lineRule="auto"/>
        <w:jc w:val="distribute"/>
        <w:rPr>
          <w:rFonts w:hint="eastAsia"/>
          <w:color w:val="auto"/>
          <w:sz w:val="16"/>
          <w:szCs w:val="16"/>
          <w:lang w:val="en-US" w:eastAsia="zh-CN"/>
        </w:rPr>
      </w:pPr>
      <w:r>
        <w:rPr>
          <w:rFonts w:hint="eastAsia"/>
          <w:color w:val="auto"/>
          <w:sz w:val="16"/>
          <w:szCs w:val="16"/>
          <w:lang w:val="en-US" w:eastAsia="zh-CN"/>
        </w:rPr>
        <w:t>GS       GeneralizedT    (np.float64(5.505642894982417), ... -1387.5365 -1376.9841</w:t>
      </w:r>
    </w:p>
    <w:p w14:paraId="686BA023">
      <w:pPr>
        <w:spacing w:line="240" w:lineRule="auto"/>
        <w:jc w:val="distribute"/>
        <w:rPr>
          <w:rFonts w:hint="eastAsia"/>
          <w:color w:val="auto"/>
          <w:sz w:val="16"/>
          <w:szCs w:val="16"/>
          <w:lang w:val="en-US" w:eastAsia="zh-CN"/>
        </w:rPr>
      </w:pPr>
      <w:r>
        <w:rPr>
          <w:rFonts w:hint="eastAsia"/>
          <w:color w:val="auto"/>
          <w:sz w:val="16"/>
          <w:szCs w:val="16"/>
          <w:lang w:val="en-US" w:eastAsia="zh-CN"/>
        </w:rPr>
        <w:t>INTU     GeneralizedT    (np.float64(5.5701179139319805),... -1290.8660 -1280.3136</w:t>
      </w:r>
    </w:p>
    <w:p w14:paraId="703A473B">
      <w:pPr>
        <w:spacing w:line="240" w:lineRule="auto"/>
        <w:jc w:val="distribute"/>
        <w:rPr>
          <w:rFonts w:hint="eastAsia"/>
          <w:color w:val="auto"/>
          <w:sz w:val="16"/>
          <w:szCs w:val="16"/>
          <w:lang w:val="en-US" w:eastAsia="zh-CN"/>
        </w:rPr>
      </w:pPr>
      <w:r>
        <w:rPr>
          <w:rFonts w:hint="eastAsia"/>
          <w:color w:val="auto"/>
          <w:sz w:val="16"/>
          <w:szCs w:val="16"/>
          <w:lang w:val="en-US" w:eastAsia="zh-CN"/>
        </w:rPr>
        <w:t>CAT      GeneralizedT    (np.float64(4.450136312290146), ... -1325.1094 -1314.5570</w:t>
      </w:r>
    </w:p>
    <w:p w14:paraId="7C37DFC7">
      <w:pPr>
        <w:spacing w:line="240" w:lineRule="auto"/>
        <w:jc w:val="distribute"/>
        <w:rPr>
          <w:rFonts w:hint="eastAsia"/>
          <w:color w:val="auto"/>
          <w:sz w:val="16"/>
          <w:szCs w:val="16"/>
          <w:lang w:val="en-US" w:eastAsia="zh-CN"/>
        </w:rPr>
      </w:pPr>
      <w:r>
        <w:rPr>
          <w:rFonts w:hint="eastAsia"/>
          <w:color w:val="auto"/>
          <w:sz w:val="16"/>
          <w:szCs w:val="16"/>
          <w:lang w:val="en-US" w:eastAsia="zh-CN"/>
        </w:rPr>
        <w:t>QCOM     GeneralizedT    (np.float64(5.220655002485377), ... -1259.5196 -1248.9673</w:t>
      </w:r>
    </w:p>
    <w:p w14:paraId="0BC32E4E">
      <w:pPr>
        <w:spacing w:line="240" w:lineRule="auto"/>
        <w:jc w:val="distribute"/>
        <w:rPr>
          <w:rFonts w:hint="eastAsia"/>
          <w:color w:val="auto"/>
          <w:sz w:val="16"/>
          <w:szCs w:val="16"/>
          <w:lang w:val="en-US" w:eastAsia="zh-CN"/>
        </w:rPr>
      </w:pPr>
      <w:r>
        <w:rPr>
          <w:rFonts w:hint="eastAsia"/>
          <w:color w:val="auto"/>
          <w:sz w:val="16"/>
          <w:szCs w:val="16"/>
          <w:lang w:val="en-US" w:eastAsia="zh-CN"/>
        </w:rPr>
        <w:t>TXN      GeneralizedT    (np.float64(9.150954622844177), ... -1380.5787 -1370.0263</w:t>
      </w:r>
    </w:p>
    <w:p w14:paraId="10919477">
      <w:pPr>
        <w:spacing w:line="240" w:lineRule="auto"/>
        <w:jc w:val="distribute"/>
        <w:rPr>
          <w:rFonts w:hint="eastAsia"/>
          <w:color w:val="auto"/>
          <w:sz w:val="16"/>
          <w:szCs w:val="16"/>
          <w:lang w:val="en-US" w:eastAsia="zh-CN"/>
        </w:rPr>
      </w:pPr>
      <w:r>
        <w:rPr>
          <w:rFonts w:hint="eastAsia"/>
          <w:color w:val="auto"/>
          <w:sz w:val="16"/>
          <w:szCs w:val="16"/>
          <w:lang w:val="en-US" w:eastAsia="zh-CN"/>
        </w:rPr>
        <w:t>VZ       GeneralizedT    (np.float64(3.271241480506749), ... -1466.0339 -1455.4815</w:t>
      </w:r>
    </w:p>
    <w:p w14:paraId="5E00F65D">
      <w:pPr>
        <w:spacing w:line="240" w:lineRule="auto"/>
        <w:jc w:val="distribute"/>
        <w:rPr>
          <w:rFonts w:hint="eastAsia"/>
          <w:color w:val="auto"/>
          <w:sz w:val="16"/>
          <w:szCs w:val="16"/>
          <w:lang w:val="en-US" w:eastAsia="zh-CN"/>
        </w:rPr>
      </w:pPr>
      <w:r>
        <w:rPr>
          <w:rFonts w:hint="eastAsia"/>
          <w:color w:val="auto"/>
          <w:sz w:val="16"/>
          <w:szCs w:val="16"/>
          <w:lang w:val="en-US" w:eastAsia="zh-CN"/>
        </w:rPr>
        <w:t>AXP      GeneralizedT    (np.float64(4.718568095222283), ... -1367.1578 -1356.6054</w:t>
      </w:r>
    </w:p>
    <w:p w14:paraId="77227376">
      <w:pPr>
        <w:spacing w:line="240" w:lineRule="auto"/>
        <w:jc w:val="distribute"/>
        <w:rPr>
          <w:rFonts w:hint="eastAsia"/>
          <w:color w:val="auto"/>
          <w:sz w:val="16"/>
          <w:szCs w:val="16"/>
          <w:lang w:val="en-US" w:eastAsia="zh-CN"/>
        </w:rPr>
      </w:pPr>
      <w:r>
        <w:rPr>
          <w:rFonts w:hint="eastAsia"/>
          <w:color w:val="auto"/>
          <w:sz w:val="16"/>
          <w:szCs w:val="16"/>
          <w:lang w:val="en-US" w:eastAsia="zh-CN"/>
        </w:rPr>
        <w:t>T        GeneralizedT    (np.float64(3.021497621326153), ... -1403.5698 -1393.0174</w:t>
      </w:r>
    </w:p>
    <w:p w14:paraId="643C42D6">
      <w:pPr>
        <w:spacing w:line="240" w:lineRule="auto"/>
        <w:jc w:val="distribute"/>
        <w:rPr>
          <w:rFonts w:hint="eastAsia"/>
          <w:color w:val="auto"/>
          <w:sz w:val="16"/>
          <w:szCs w:val="16"/>
          <w:lang w:val="en-US" w:eastAsia="zh-CN"/>
        </w:rPr>
      </w:pPr>
      <w:r>
        <w:rPr>
          <w:rFonts w:hint="eastAsia"/>
          <w:color w:val="auto"/>
          <w:sz w:val="16"/>
          <w:szCs w:val="16"/>
          <w:lang w:val="en-US" w:eastAsia="zh-CN"/>
        </w:rPr>
        <w:t>BKNG     GeneralizedT    (np.float64(8.120433832888796), ... -1367.0186 -1356.4663</w:t>
      </w:r>
    </w:p>
    <w:p w14:paraId="3F0F0451">
      <w:pPr>
        <w:spacing w:line="240" w:lineRule="auto"/>
        <w:jc w:val="distribute"/>
        <w:rPr>
          <w:rFonts w:hint="eastAsia"/>
          <w:color w:val="auto"/>
          <w:sz w:val="16"/>
          <w:szCs w:val="16"/>
          <w:lang w:val="en-US" w:eastAsia="zh-CN"/>
        </w:rPr>
      </w:pPr>
      <w:r>
        <w:rPr>
          <w:rFonts w:hint="eastAsia"/>
          <w:color w:val="auto"/>
          <w:sz w:val="16"/>
          <w:szCs w:val="16"/>
          <w:lang w:val="en-US" w:eastAsia="zh-CN"/>
        </w:rPr>
        <w:t>SPGI     GeneralizedT    (np.float64(4.164962558687011), ... -1458.8754 -1448.3231</w:t>
      </w:r>
    </w:p>
    <w:p w14:paraId="72D85B27">
      <w:pPr>
        <w:spacing w:line="240" w:lineRule="auto"/>
        <w:jc w:val="distribute"/>
        <w:rPr>
          <w:rFonts w:hint="eastAsia"/>
          <w:color w:val="auto"/>
          <w:sz w:val="16"/>
          <w:szCs w:val="16"/>
          <w:lang w:val="en-US" w:eastAsia="zh-CN"/>
        </w:rPr>
      </w:pPr>
      <w:r>
        <w:rPr>
          <w:rFonts w:hint="eastAsia"/>
          <w:color w:val="auto"/>
          <w:sz w:val="16"/>
          <w:szCs w:val="16"/>
          <w:lang w:val="en-US" w:eastAsia="zh-CN"/>
        </w:rPr>
        <w:t>MS       GeneralizedT    (np.float64(4.49436034621783), n... -1362.6075 -1352.0552</w:t>
      </w:r>
    </w:p>
    <w:p w14:paraId="18B78547">
      <w:pPr>
        <w:spacing w:line="240" w:lineRule="auto"/>
        <w:jc w:val="distribute"/>
        <w:rPr>
          <w:rFonts w:hint="eastAsia"/>
          <w:color w:val="auto"/>
          <w:sz w:val="16"/>
          <w:szCs w:val="16"/>
          <w:lang w:val="en-US" w:eastAsia="zh-CN"/>
        </w:rPr>
      </w:pPr>
      <w:r>
        <w:rPr>
          <w:rFonts w:hint="eastAsia"/>
          <w:color w:val="auto"/>
          <w:sz w:val="16"/>
          <w:szCs w:val="16"/>
          <w:lang w:val="en-US" w:eastAsia="zh-CN"/>
        </w:rPr>
        <w:t>RTX      GeneralizedT    (np.float64(3.208685947734061), ... -1463.3025 -1452.7501</w:t>
      </w:r>
    </w:p>
    <w:p w14:paraId="4BBB161B">
      <w:pPr>
        <w:spacing w:line="240" w:lineRule="auto"/>
        <w:jc w:val="distribute"/>
        <w:rPr>
          <w:rFonts w:hint="eastAsia"/>
          <w:color w:val="auto"/>
          <w:sz w:val="16"/>
          <w:szCs w:val="16"/>
          <w:lang w:val="en-US" w:eastAsia="zh-CN"/>
        </w:rPr>
      </w:pPr>
      <w:r>
        <w:rPr>
          <w:rFonts w:hint="eastAsia"/>
          <w:color w:val="auto"/>
          <w:sz w:val="16"/>
          <w:szCs w:val="16"/>
          <w:lang w:val="en-US" w:eastAsia="zh-CN"/>
        </w:rPr>
        <w:t xml:space="preserve">PLTR     GeneralizedT    (np.float64(3.1103275293944916),... -901.2430  -890.6906 </w:t>
      </w:r>
    </w:p>
    <w:p w14:paraId="20FA562F">
      <w:pPr>
        <w:spacing w:line="240" w:lineRule="auto"/>
        <w:jc w:val="distribute"/>
        <w:rPr>
          <w:rFonts w:hint="eastAsia"/>
          <w:color w:val="auto"/>
          <w:sz w:val="16"/>
          <w:szCs w:val="16"/>
          <w:lang w:val="en-US" w:eastAsia="zh-CN"/>
        </w:rPr>
      </w:pPr>
      <w:r>
        <w:rPr>
          <w:rFonts w:hint="eastAsia"/>
          <w:color w:val="auto"/>
          <w:sz w:val="16"/>
          <w:szCs w:val="16"/>
          <w:lang w:val="en-US" w:eastAsia="zh-CN"/>
        </w:rPr>
        <w:t>PFE      GeneralizedT    (np.float64(4.092582810677552), ... -1425.2011 -1414.6488</w:t>
      </w:r>
    </w:p>
    <w:p w14:paraId="356F5B3B">
      <w:pPr>
        <w:spacing w:line="240" w:lineRule="auto"/>
        <w:jc w:val="distribute"/>
        <w:rPr>
          <w:rFonts w:hint="eastAsia"/>
          <w:color w:val="auto"/>
          <w:sz w:val="16"/>
          <w:szCs w:val="16"/>
          <w:lang w:val="en-US" w:eastAsia="zh-CN"/>
        </w:rPr>
      </w:pPr>
      <w:r>
        <w:rPr>
          <w:rFonts w:hint="eastAsia"/>
          <w:color w:val="auto"/>
          <w:sz w:val="16"/>
          <w:szCs w:val="16"/>
          <w:lang w:val="en-US" w:eastAsia="zh-CN"/>
        </w:rPr>
        <w:t>BLK      GeneralizedT    (np.float64(7.9336860540847045),... -1423.7598 -1413.2074</w:t>
      </w:r>
    </w:p>
    <w:p w14:paraId="2555EF8E">
      <w:pPr>
        <w:spacing w:line="240" w:lineRule="auto"/>
        <w:jc w:val="distribute"/>
        <w:rPr>
          <w:rFonts w:hint="eastAsia"/>
          <w:color w:val="auto"/>
          <w:sz w:val="16"/>
          <w:szCs w:val="16"/>
          <w:lang w:val="en-US" w:eastAsia="zh-CN"/>
        </w:rPr>
      </w:pPr>
      <w:r>
        <w:rPr>
          <w:rFonts w:hint="eastAsia"/>
          <w:color w:val="auto"/>
          <w:sz w:val="16"/>
          <w:szCs w:val="16"/>
          <w:lang w:val="en-US" w:eastAsia="zh-CN"/>
        </w:rPr>
        <w:t>DHR      GeneralizedT    (np.float64(5.305481750132705), ... -1395.2150 -1384.6627</w:t>
      </w:r>
    </w:p>
    <w:p w14:paraId="48B551A4">
      <w:pPr>
        <w:spacing w:line="240" w:lineRule="auto"/>
        <w:jc w:val="distribute"/>
        <w:rPr>
          <w:rFonts w:hint="eastAsia"/>
          <w:color w:val="auto"/>
          <w:sz w:val="16"/>
          <w:szCs w:val="16"/>
          <w:lang w:val="en-US" w:eastAsia="zh-CN"/>
        </w:rPr>
      </w:pPr>
      <w:r>
        <w:rPr>
          <w:rFonts w:hint="eastAsia"/>
          <w:color w:val="auto"/>
          <w:sz w:val="16"/>
          <w:szCs w:val="16"/>
          <w:lang w:val="en-US" w:eastAsia="zh-CN"/>
        </w:rPr>
        <w:t>NEE      GeneralizedT    (np.float64(2.9511778671913897),... -1368.6339 -1358.0815</w:t>
      </w:r>
    </w:p>
    <w:p w14:paraId="05CD4B68">
      <w:pPr>
        <w:spacing w:line="240" w:lineRule="auto"/>
        <w:jc w:val="distribute"/>
        <w:rPr>
          <w:rFonts w:hint="eastAsia"/>
          <w:color w:val="auto"/>
          <w:sz w:val="16"/>
          <w:szCs w:val="16"/>
          <w:lang w:val="en-US" w:eastAsia="zh-CN"/>
        </w:rPr>
      </w:pPr>
      <w:r>
        <w:rPr>
          <w:rFonts w:hint="eastAsia"/>
          <w:color w:val="auto"/>
          <w:sz w:val="16"/>
          <w:szCs w:val="16"/>
          <w:lang w:val="en-US" w:eastAsia="zh-CN"/>
        </w:rPr>
        <w:t>HON      GeneralizedT    (np.float64(5.729085945858001), ... -1526.5872 -1516.0349</w:t>
      </w:r>
    </w:p>
    <w:p w14:paraId="3B908B5C">
      <w:pPr>
        <w:spacing w:line="240" w:lineRule="auto"/>
        <w:jc w:val="distribute"/>
        <w:rPr>
          <w:rFonts w:hint="eastAsia"/>
          <w:color w:val="auto"/>
          <w:sz w:val="16"/>
          <w:szCs w:val="16"/>
          <w:lang w:val="en-US" w:eastAsia="zh-CN"/>
        </w:rPr>
      </w:pPr>
      <w:r>
        <w:rPr>
          <w:rFonts w:hint="eastAsia"/>
          <w:color w:val="auto"/>
          <w:sz w:val="16"/>
          <w:szCs w:val="16"/>
          <w:lang w:val="en-US" w:eastAsia="zh-CN"/>
        </w:rPr>
        <w:t>CMCSA    GeneralizedT    (np.float64(4.556057592231218), ... -1436.2221 -1425.6697</w:t>
      </w:r>
    </w:p>
    <w:p w14:paraId="0119EE66">
      <w:pPr>
        <w:spacing w:line="240" w:lineRule="auto"/>
        <w:jc w:val="distribute"/>
        <w:rPr>
          <w:rFonts w:hint="eastAsia"/>
          <w:color w:val="auto"/>
          <w:sz w:val="16"/>
          <w:szCs w:val="16"/>
          <w:lang w:val="en-US" w:eastAsia="zh-CN"/>
        </w:rPr>
      </w:pPr>
      <w:r>
        <w:rPr>
          <w:rFonts w:hint="eastAsia"/>
          <w:color w:val="auto"/>
          <w:sz w:val="16"/>
          <w:szCs w:val="16"/>
          <w:lang w:val="en-US" w:eastAsia="zh-CN"/>
        </w:rPr>
        <w:t>PGR      GeneralizedT    (np.float64(2.6467674293677947),... -1382.5968 -1372.0444</w:t>
      </w:r>
    </w:p>
    <w:p w14:paraId="44FD38AC">
      <w:pPr>
        <w:spacing w:line="240" w:lineRule="auto"/>
        <w:jc w:val="distribute"/>
        <w:rPr>
          <w:rFonts w:hint="eastAsia"/>
          <w:color w:val="auto"/>
          <w:sz w:val="16"/>
          <w:szCs w:val="16"/>
          <w:lang w:val="en-US" w:eastAsia="zh-CN"/>
        </w:rPr>
      </w:pPr>
      <w:r>
        <w:rPr>
          <w:rFonts w:hint="eastAsia"/>
          <w:color w:val="auto"/>
          <w:sz w:val="16"/>
          <w:szCs w:val="16"/>
          <w:lang w:val="en-US" w:eastAsia="zh-CN"/>
        </w:rPr>
        <w:t>LOW      NIG             (np.float64(63.63379062627206), ... -1404.1570 -1390.0872</w:t>
      </w:r>
    </w:p>
    <w:p w14:paraId="744180BA">
      <w:pPr>
        <w:spacing w:line="240" w:lineRule="auto"/>
        <w:jc w:val="distribute"/>
        <w:rPr>
          <w:rFonts w:hint="eastAsia"/>
          <w:color w:val="auto"/>
          <w:sz w:val="16"/>
          <w:szCs w:val="16"/>
          <w:lang w:val="en-US" w:eastAsia="zh-CN"/>
        </w:rPr>
      </w:pPr>
      <w:r>
        <w:rPr>
          <w:rFonts w:hint="eastAsia"/>
          <w:color w:val="auto"/>
          <w:sz w:val="16"/>
          <w:szCs w:val="16"/>
          <w:lang w:val="en-US" w:eastAsia="zh-CN"/>
        </w:rPr>
        <w:t>AMGN     GeneralizedT    (np.float64(5.944480294623073), ... -1458.3092 -1447.7568</w:t>
      </w:r>
    </w:p>
    <w:p w14:paraId="258C432E">
      <w:pPr>
        <w:spacing w:line="240" w:lineRule="auto"/>
        <w:jc w:val="distribute"/>
        <w:rPr>
          <w:rFonts w:hint="eastAsia"/>
          <w:color w:val="auto"/>
          <w:sz w:val="16"/>
          <w:szCs w:val="16"/>
          <w:lang w:val="en-US" w:eastAsia="zh-CN"/>
        </w:rPr>
      </w:pPr>
      <w:r>
        <w:rPr>
          <w:rFonts w:hint="eastAsia"/>
          <w:color w:val="auto"/>
          <w:sz w:val="16"/>
          <w:szCs w:val="16"/>
          <w:lang w:val="en-US" w:eastAsia="zh-CN"/>
        </w:rPr>
        <w:t>UNP      GeneralizedT    (np.float64(3.9852630125121564),... -1452.5710 -1442.0187</w:t>
      </w:r>
    </w:p>
    <w:p w14:paraId="2CB0F79D">
      <w:pPr>
        <w:spacing w:line="240" w:lineRule="auto"/>
        <w:jc w:val="distribute"/>
        <w:rPr>
          <w:rFonts w:hint="eastAsia"/>
          <w:color w:val="auto"/>
          <w:sz w:val="16"/>
          <w:szCs w:val="16"/>
          <w:lang w:val="en-US" w:eastAsia="zh-CN"/>
        </w:rPr>
      </w:pPr>
      <w:r>
        <w:rPr>
          <w:rFonts w:hint="eastAsia"/>
          <w:color w:val="auto"/>
          <w:sz w:val="16"/>
          <w:szCs w:val="16"/>
          <w:lang w:val="en-US" w:eastAsia="zh-CN"/>
        </w:rPr>
        <w:t>TJX      GeneralizedT    (np.float64(10.191802212228234),... -1582.0694 -1571.5171</w:t>
      </w:r>
    </w:p>
    <w:p w14:paraId="313E0FBB">
      <w:pPr>
        <w:spacing w:line="240" w:lineRule="auto"/>
        <w:jc w:val="distribute"/>
        <w:rPr>
          <w:rFonts w:hint="eastAsia"/>
          <w:color w:val="auto"/>
          <w:sz w:val="16"/>
          <w:szCs w:val="16"/>
          <w:lang w:val="en-US" w:eastAsia="zh-CN"/>
        </w:rPr>
      </w:pPr>
      <w:r>
        <w:rPr>
          <w:rFonts w:hint="eastAsia"/>
          <w:color w:val="auto"/>
          <w:sz w:val="16"/>
          <w:szCs w:val="16"/>
          <w:lang w:val="en-US" w:eastAsia="zh-CN"/>
        </w:rPr>
        <w:t>AMAT     SkewNormal      (np.float64(1.4054197773746195),... -1207.8378 -1197.2854</w:t>
      </w:r>
    </w:p>
    <w:p w14:paraId="1DC37F21">
      <w:pPr>
        <w:spacing w:line="240" w:lineRule="auto"/>
        <w:jc w:val="distribute"/>
        <w:rPr>
          <w:rFonts w:hint="eastAsia"/>
          <w:color w:val="auto"/>
          <w:sz w:val="16"/>
          <w:szCs w:val="16"/>
          <w:lang w:val="en-US" w:eastAsia="zh-CN"/>
        </w:rPr>
      </w:pPr>
      <w:r>
        <w:rPr>
          <w:rFonts w:hint="eastAsia"/>
          <w:color w:val="auto"/>
          <w:sz w:val="16"/>
          <w:szCs w:val="16"/>
          <w:lang w:val="en-US" w:eastAsia="zh-CN"/>
        </w:rPr>
        <w:t>UBER     GeneralizedT    (np.float64(9.440553417754458), ... -1179.0636 -1168.5112</w:t>
      </w:r>
    </w:p>
    <w:p w14:paraId="71720D49">
      <w:pPr>
        <w:spacing w:line="240" w:lineRule="auto"/>
        <w:jc w:val="distribute"/>
        <w:rPr>
          <w:rFonts w:hint="eastAsia"/>
          <w:color w:val="auto"/>
          <w:sz w:val="16"/>
          <w:szCs w:val="16"/>
          <w:lang w:val="en-US" w:eastAsia="zh-CN"/>
        </w:rPr>
      </w:pPr>
      <w:r>
        <w:rPr>
          <w:rFonts w:hint="eastAsia"/>
          <w:color w:val="auto"/>
          <w:sz w:val="16"/>
          <w:szCs w:val="16"/>
          <w:lang w:val="en-US" w:eastAsia="zh-CN"/>
        </w:rPr>
        <w:t>C        GeneralizedT    (np.float64(4.168034424926221), ... -1370.8899 -1360.3376</w:t>
      </w:r>
    </w:p>
    <w:p w14:paraId="002ED866">
      <w:pPr>
        <w:spacing w:line="240" w:lineRule="auto"/>
        <w:jc w:val="distribute"/>
        <w:rPr>
          <w:rFonts w:hint="eastAsia"/>
          <w:color w:val="auto"/>
          <w:sz w:val="16"/>
          <w:szCs w:val="16"/>
          <w:lang w:val="en-US" w:eastAsia="zh-CN"/>
        </w:rPr>
      </w:pPr>
      <w:r>
        <w:rPr>
          <w:rFonts w:hint="eastAsia"/>
          <w:color w:val="auto"/>
          <w:sz w:val="16"/>
          <w:szCs w:val="16"/>
          <w:lang w:val="en-US" w:eastAsia="zh-CN"/>
        </w:rPr>
        <w:t>BSX      GeneralizedT    (np.float64(3.5408599973299513),... -1504.2783 -1493.7259</w:t>
      </w:r>
    </w:p>
    <w:p w14:paraId="4E9598C7">
      <w:pPr>
        <w:spacing w:line="240" w:lineRule="auto"/>
        <w:jc w:val="distribute"/>
        <w:rPr>
          <w:rFonts w:hint="eastAsia"/>
          <w:color w:val="auto"/>
          <w:sz w:val="16"/>
          <w:szCs w:val="16"/>
          <w:lang w:val="en-US" w:eastAsia="zh-CN"/>
        </w:rPr>
      </w:pPr>
      <w:r>
        <w:rPr>
          <w:rFonts w:hint="eastAsia"/>
          <w:color w:val="auto"/>
          <w:sz w:val="16"/>
          <w:szCs w:val="16"/>
          <w:lang w:val="en-US" w:eastAsia="zh-CN"/>
        </w:rPr>
        <w:t>ETN      GeneralizedT    (np.float64(3.8783439019450565),... -1353.6778 -1343.1254</w:t>
      </w:r>
    </w:p>
    <w:p w14:paraId="3FAE1EAB">
      <w:pPr>
        <w:spacing w:line="240" w:lineRule="auto"/>
        <w:jc w:val="distribute"/>
        <w:rPr>
          <w:rFonts w:hint="eastAsia"/>
          <w:color w:val="auto"/>
          <w:sz w:val="16"/>
          <w:szCs w:val="16"/>
          <w:lang w:val="en-US" w:eastAsia="zh-CN"/>
        </w:rPr>
      </w:pPr>
      <w:r>
        <w:rPr>
          <w:rFonts w:hint="eastAsia"/>
          <w:color w:val="auto"/>
          <w:sz w:val="16"/>
          <w:szCs w:val="16"/>
          <w:lang w:val="en-US" w:eastAsia="zh-CN"/>
        </w:rPr>
        <w:t>COP      GeneralizedT    (np.float64(5.830128203718905), ... -1307.3611 -1296.8088</w:t>
      </w:r>
    </w:p>
    <w:p w14:paraId="236E6700">
      <w:pPr>
        <w:spacing w:line="240" w:lineRule="auto"/>
        <w:jc w:val="distribute"/>
        <w:rPr>
          <w:rFonts w:hint="eastAsia"/>
          <w:color w:val="auto"/>
          <w:sz w:val="16"/>
          <w:szCs w:val="16"/>
          <w:lang w:val="en-US" w:eastAsia="zh-CN"/>
        </w:rPr>
      </w:pPr>
      <w:r>
        <w:rPr>
          <w:rFonts w:hint="eastAsia"/>
          <w:color w:val="auto"/>
          <w:sz w:val="16"/>
          <w:szCs w:val="16"/>
          <w:lang w:val="en-US" w:eastAsia="zh-CN"/>
        </w:rPr>
        <w:t>BA       GeneralizedT    (np.float64(4.703007872721208), ... -1335.8107 -1325.2583</w:t>
      </w:r>
    </w:p>
    <w:p w14:paraId="19D7DA97">
      <w:pPr>
        <w:spacing w:line="240" w:lineRule="auto"/>
        <w:jc w:val="distribute"/>
        <w:rPr>
          <w:rFonts w:hint="eastAsia"/>
          <w:color w:val="auto"/>
          <w:sz w:val="16"/>
          <w:szCs w:val="16"/>
          <w:lang w:val="en-US" w:eastAsia="zh-CN"/>
        </w:rPr>
      </w:pPr>
      <w:r>
        <w:rPr>
          <w:rFonts w:hint="eastAsia"/>
          <w:color w:val="auto"/>
          <w:sz w:val="16"/>
          <w:szCs w:val="16"/>
          <w:lang w:val="en-US" w:eastAsia="zh-CN"/>
        </w:rPr>
        <w:t>BX       GeneralizedT    (np.float64(6.30593330386122), n... -1200.5003 -1189.9479</w:t>
      </w:r>
    </w:p>
    <w:p w14:paraId="10A865DD">
      <w:pPr>
        <w:spacing w:line="240" w:lineRule="auto"/>
        <w:jc w:val="distribute"/>
        <w:rPr>
          <w:rFonts w:hint="eastAsia"/>
          <w:color w:val="auto"/>
          <w:sz w:val="16"/>
          <w:szCs w:val="16"/>
          <w:lang w:val="en-US" w:eastAsia="zh-CN"/>
        </w:rPr>
      </w:pPr>
      <w:r>
        <w:rPr>
          <w:rFonts w:hint="eastAsia"/>
          <w:color w:val="auto"/>
          <w:sz w:val="16"/>
          <w:szCs w:val="16"/>
          <w:lang w:val="en-US" w:eastAsia="zh-CN"/>
        </w:rPr>
        <w:t>SYK      GeneralizedT    (np.float64(2.663109184303306), ... -1451.4338 -1440.8815</w:t>
      </w:r>
    </w:p>
    <w:p w14:paraId="0F84615C">
      <w:pPr>
        <w:spacing w:line="240" w:lineRule="auto"/>
        <w:jc w:val="distribute"/>
        <w:rPr>
          <w:rFonts w:hint="eastAsia"/>
          <w:color w:val="auto"/>
          <w:sz w:val="16"/>
          <w:szCs w:val="16"/>
          <w:lang w:val="en-US" w:eastAsia="zh-CN"/>
        </w:rPr>
      </w:pPr>
      <w:r>
        <w:rPr>
          <w:rFonts w:hint="eastAsia"/>
          <w:color w:val="auto"/>
          <w:sz w:val="16"/>
          <w:szCs w:val="16"/>
          <w:lang w:val="en-US" w:eastAsia="zh-CN"/>
        </w:rPr>
        <w:t>PANW     GeneralizedT    (np.float64(3.3221452095328576),... -1201.9118 -1191.3594</w:t>
      </w:r>
    </w:p>
    <w:p w14:paraId="219AF074">
      <w:pPr>
        <w:spacing w:line="240" w:lineRule="auto"/>
        <w:jc w:val="distribute"/>
        <w:rPr>
          <w:rFonts w:hint="eastAsia"/>
          <w:color w:val="auto"/>
          <w:sz w:val="16"/>
          <w:szCs w:val="16"/>
          <w:lang w:val="en-US" w:eastAsia="zh-CN"/>
        </w:rPr>
      </w:pPr>
      <w:r>
        <w:rPr>
          <w:rFonts w:hint="eastAsia"/>
          <w:color w:val="auto"/>
          <w:sz w:val="16"/>
          <w:szCs w:val="16"/>
          <w:lang w:val="en-US" w:eastAsia="zh-CN"/>
        </w:rPr>
        <w:t>ADP      GeneralizedT    (np.float64(3.3902668413539083),... -1505.2253 -1494.6730</w:t>
      </w:r>
    </w:p>
    <w:p w14:paraId="16D1A862">
      <w:pPr>
        <w:spacing w:line="240" w:lineRule="auto"/>
        <w:jc w:val="distribute"/>
        <w:rPr>
          <w:rFonts w:hint="eastAsia"/>
          <w:color w:val="auto"/>
          <w:sz w:val="16"/>
          <w:szCs w:val="16"/>
          <w:lang w:val="en-US" w:eastAsia="zh-CN"/>
        </w:rPr>
      </w:pPr>
      <w:r>
        <w:rPr>
          <w:rFonts w:hint="eastAsia"/>
          <w:color w:val="auto"/>
          <w:sz w:val="16"/>
          <w:szCs w:val="16"/>
          <w:lang w:val="en-US" w:eastAsia="zh-CN"/>
        </w:rPr>
        <w:t>FI       GeneralizedT    (np.float64(3.721627851559792), ... -1500.1683 -1489.6159</w:t>
      </w:r>
    </w:p>
    <w:p w14:paraId="3970259E">
      <w:pPr>
        <w:spacing w:line="240" w:lineRule="auto"/>
        <w:jc w:val="distribute"/>
        <w:rPr>
          <w:rFonts w:hint="eastAsia"/>
          <w:color w:val="auto"/>
          <w:sz w:val="16"/>
          <w:szCs w:val="16"/>
          <w:lang w:val="en-US" w:eastAsia="zh-CN"/>
        </w:rPr>
      </w:pPr>
      <w:r>
        <w:rPr>
          <w:rFonts w:hint="eastAsia"/>
          <w:color w:val="auto"/>
          <w:sz w:val="16"/>
          <w:szCs w:val="16"/>
          <w:lang w:val="en-US" w:eastAsia="zh-CN"/>
        </w:rPr>
        <w:t>ANET     GeneralizedT    (np.float64(2.744064008994597), ... -1166.4653 -1155.9130</w:t>
      </w:r>
    </w:p>
    <w:p w14:paraId="38A9E864">
      <w:pPr>
        <w:spacing w:line="240" w:lineRule="auto"/>
        <w:jc w:val="distribute"/>
        <w:rPr>
          <w:rFonts w:hint="eastAsia"/>
          <w:color w:val="auto"/>
          <w:sz w:val="16"/>
          <w:szCs w:val="16"/>
          <w:lang w:val="en-US" w:eastAsia="zh-CN"/>
        </w:rPr>
      </w:pPr>
      <w:r>
        <w:rPr>
          <w:rFonts w:hint="eastAsia"/>
          <w:color w:val="auto"/>
          <w:sz w:val="16"/>
          <w:szCs w:val="16"/>
          <w:lang w:val="en-US" w:eastAsia="zh-CN"/>
        </w:rPr>
        <w:t>GILD     GeneralizedT    (np.float64(8.569309439426583), ... -1464.3701 -1453.8177</w:t>
      </w:r>
    </w:p>
    <w:p w14:paraId="47D03210">
      <w:pPr>
        <w:spacing w:line="240" w:lineRule="auto"/>
        <w:jc w:val="distribute"/>
        <w:rPr>
          <w:rFonts w:hint="eastAsia"/>
          <w:color w:val="auto"/>
          <w:sz w:val="16"/>
          <w:szCs w:val="16"/>
          <w:lang w:val="en-US" w:eastAsia="zh-CN"/>
        </w:rPr>
      </w:pPr>
      <w:r>
        <w:rPr>
          <w:rFonts w:hint="eastAsia"/>
          <w:color w:val="auto"/>
          <w:sz w:val="16"/>
          <w:szCs w:val="16"/>
          <w:lang w:val="en-US" w:eastAsia="zh-CN"/>
        </w:rPr>
        <w:t>BMY      GeneralizedT    (np.float64(4.359798987487753), ... -1510.0344 -1499.4820</w:t>
      </w:r>
    </w:p>
    <w:p w14:paraId="41972149">
      <w:pPr>
        <w:spacing w:line="240" w:lineRule="auto"/>
        <w:jc w:val="distribute"/>
        <w:rPr>
          <w:rFonts w:hint="eastAsia"/>
          <w:color w:val="auto"/>
          <w:sz w:val="16"/>
          <w:szCs w:val="16"/>
          <w:lang w:val="en-US" w:eastAsia="zh-CN"/>
        </w:rPr>
      </w:pPr>
      <w:r>
        <w:rPr>
          <w:rFonts w:hint="eastAsia"/>
          <w:color w:val="auto"/>
          <w:sz w:val="16"/>
          <w:szCs w:val="16"/>
          <w:lang w:val="en-US" w:eastAsia="zh-CN"/>
        </w:rPr>
        <w:t>SCHW     GeneralizedT    (np.float64(2.8391353832455217),... -1164.1639 -1153.6115</w:t>
      </w:r>
    </w:p>
    <w:p w14:paraId="72F6F20D">
      <w:pPr>
        <w:spacing w:line="240" w:lineRule="auto"/>
        <w:jc w:val="distribute"/>
        <w:rPr>
          <w:rFonts w:hint="eastAsia"/>
          <w:color w:val="auto"/>
          <w:sz w:val="16"/>
          <w:szCs w:val="16"/>
          <w:lang w:val="en-US" w:eastAsia="zh-CN"/>
        </w:rPr>
      </w:pPr>
      <w:r>
        <w:rPr>
          <w:rFonts w:hint="eastAsia"/>
          <w:color w:val="auto"/>
          <w:sz w:val="16"/>
          <w:szCs w:val="16"/>
          <w:lang w:val="en-US" w:eastAsia="zh-CN"/>
        </w:rPr>
        <w:t>TMUS     GeneralizedT    (np.float64(5.569307566177855), ... -1511.6652 -1501.1129</w:t>
      </w:r>
    </w:p>
    <w:p w14:paraId="78EE3FE1">
      <w:pPr>
        <w:spacing w:line="240" w:lineRule="auto"/>
        <w:jc w:val="distribute"/>
        <w:rPr>
          <w:rFonts w:hint="eastAsia"/>
          <w:color w:val="auto"/>
          <w:sz w:val="16"/>
          <w:szCs w:val="16"/>
          <w:lang w:val="en-US" w:eastAsia="zh-CN"/>
        </w:rPr>
      </w:pPr>
      <w:r>
        <w:rPr>
          <w:rFonts w:hint="eastAsia"/>
          <w:color w:val="auto"/>
          <w:sz w:val="16"/>
          <w:szCs w:val="16"/>
          <w:lang w:val="en-US" w:eastAsia="zh-CN"/>
        </w:rPr>
        <w:t>DE       GeneralizedT    (np.float64(5.60072370060907), n... -1331.7323 -1321.1800</w:t>
      </w:r>
    </w:p>
    <w:p w14:paraId="4D0E980A">
      <w:pPr>
        <w:spacing w:line="240" w:lineRule="auto"/>
        <w:jc w:val="distribute"/>
        <w:rPr>
          <w:rFonts w:hint="eastAsia"/>
          <w:color w:val="auto"/>
          <w:sz w:val="16"/>
          <w:szCs w:val="16"/>
          <w:lang w:val="en-US" w:eastAsia="zh-CN"/>
        </w:rPr>
      </w:pPr>
      <w:r>
        <w:rPr>
          <w:rFonts w:hint="eastAsia"/>
          <w:color w:val="auto"/>
          <w:sz w:val="16"/>
          <w:szCs w:val="16"/>
          <w:lang w:val="en-US" w:eastAsia="zh-CN"/>
        </w:rPr>
        <w:t>ADI      GeneralizedT    (np.float64(6.363938081716805), ... -1348.8319 -1338.2796</w:t>
      </w:r>
    </w:p>
    <w:p w14:paraId="16509755">
      <w:pPr>
        <w:spacing w:line="240" w:lineRule="auto"/>
        <w:jc w:val="distribute"/>
        <w:rPr>
          <w:rFonts w:hint="eastAsia"/>
          <w:color w:val="auto"/>
          <w:sz w:val="16"/>
          <w:szCs w:val="16"/>
          <w:lang w:val="en-US" w:eastAsia="zh-CN"/>
        </w:rPr>
      </w:pPr>
      <w:r>
        <w:rPr>
          <w:rFonts w:hint="eastAsia"/>
          <w:color w:val="auto"/>
          <w:sz w:val="16"/>
          <w:szCs w:val="16"/>
          <w:lang w:val="en-US" w:eastAsia="zh-CN"/>
        </w:rPr>
        <w:t>VRTX     GeneralizedT    (np.float64(4.006971289299858), ... -1429.6126 -1419.0602</w:t>
      </w:r>
    </w:p>
    <w:p w14:paraId="04565894">
      <w:pPr>
        <w:spacing w:line="240" w:lineRule="auto"/>
        <w:jc w:val="distribute"/>
        <w:rPr>
          <w:rFonts w:hint="eastAsia"/>
          <w:color w:val="auto"/>
          <w:sz w:val="16"/>
          <w:szCs w:val="16"/>
          <w:lang w:val="en-US" w:eastAsia="zh-CN"/>
        </w:rPr>
      </w:pPr>
      <w:r>
        <w:rPr>
          <w:rFonts w:hint="eastAsia"/>
          <w:color w:val="auto"/>
          <w:sz w:val="16"/>
          <w:szCs w:val="16"/>
          <w:lang w:val="en-US" w:eastAsia="zh-CN"/>
        </w:rPr>
        <w:t>SBUX     GeneralizedT    (np.float64(4.1893860774906155),... -1475.6237 -1465.0713</w:t>
      </w:r>
    </w:p>
    <w:p w14:paraId="57EA989B">
      <w:pPr>
        <w:spacing w:line="240" w:lineRule="auto"/>
        <w:jc w:val="distribute"/>
        <w:rPr>
          <w:rFonts w:hint="eastAsia"/>
          <w:color w:val="auto"/>
          <w:sz w:val="16"/>
          <w:szCs w:val="16"/>
          <w:lang w:val="en-US" w:eastAsia="zh-CN"/>
        </w:rPr>
      </w:pPr>
      <w:r>
        <w:rPr>
          <w:rFonts w:hint="eastAsia"/>
          <w:color w:val="auto"/>
          <w:sz w:val="16"/>
          <w:szCs w:val="16"/>
          <w:lang w:val="en-US" w:eastAsia="zh-CN"/>
        </w:rPr>
        <w:t>MMC      GeneralizedT    (np.float64(5.360674635007793), ... -1575.0405 -1564.4882</w:t>
      </w:r>
    </w:p>
    <w:p w14:paraId="45FD20DD">
      <w:pPr>
        <w:spacing w:line="240" w:lineRule="auto"/>
        <w:jc w:val="distribute"/>
        <w:rPr>
          <w:rFonts w:hint="eastAsia"/>
          <w:color w:val="auto"/>
          <w:sz w:val="16"/>
          <w:szCs w:val="16"/>
          <w:lang w:val="en-US" w:eastAsia="zh-CN"/>
        </w:rPr>
      </w:pPr>
      <w:r>
        <w:rPr>
          <w:rFonts w:hint="eastAsia"/>
          <w:color w:val="auto"/>
          <w:sz w:val="16"/>
          <w:szCs w:val="16"/>
          <w:lang w:val="en-US" w:eastAsia="zh-CN"/>
        </w:rPr>
        <w:t>MDT      GeneralizedT    (np.float64(4.582971886225369), ... -1448.8119 -1438.2595</w:t>
      </w:r>
    </w:p>
    <w:p w14:paraId="5718BE77">
      <w:pPr>
        <w:spacing w:line="240" w:lineRule="auto"/>
        <w:jc w:val="distribute"/>
        <w:rPr>
          <w:rFonts w:hint="eastAsia"/>
          <w:color w:val="auto"/>
          <w:sz w:val="16"/>
          <w:szCs w:val="16"/>
          <w:lang w:val="en-US" w:eastAsia="zh-CN"/>
        </w:rPr>
      </w:pPr>
      <w:r>
        <w:rPr>
          <w:rFonts w:hint="eastAsia"/>
          <w:color w:val="auto"/>
          <w:sz w:val="16"/>
          <w:szCs w:val="16"/>
          <w:lang w:val="en-US" w:eastAsia="zh-CN"/>
        </w:rPr>
        <w:t>CB       GeneralizedT    (np.float64(5.691796533812839), ... -1473.9467 -1463.3944</w:t>
      </w:r>
    </w:p>
    <w:p w14:paraId="1CFC8560">
      <w:pPr>
        <w:spacing w:line="240" w:lineRule="auto"/>
        <w:jc w:val="distribute"/>
        <w:rPr>
          <w:rFonts w:hint="eastAsia"/>
          <w:color w:val="auto"/>
          <w:sz w:val="16"/>
          <w:szCs w:val="16"/>
          <w:lang w:val="en-US" w:eastAsia="zh-CN"/>
        </w:rPr>
      </w:pPr>
      <w:r>
        <w:rPr>
          <w:rFonts w:hint="eastAsia"/>
          <w:color w:val="auto"/>
          <w:sz w:val="16"/>
          <w:szCs w:val="16"/>
          <w:lang w:val="en-US" w:eastAsia="zh-CN"/>
        </w:rPr>
        <w:t>LMT      GeneralizedT    (np.float64(3.703324783347372), ... -1589.4067 -1578.8543</w:t>
      </w:r>
    </w:p>
    <w:p w14:paraId="00E56933">
      <w:pPr>
        <w:spacing w:line="240" w:lineRule="auto"/>
        <w:jc w:val="distribute"/>
        <w:rPr>
          <w:rFonts w:hint="eastAsia"/>
          <w:color w:val="auto"/>
          <w:sz w:val="16"/>
          <w:szCs w:val="16"/>
          <w:lang w:val="en-US" w:eastAsia="zh-CN"/>
        </w:rPr>
      </w:pPr>
      <w:r>
        <w:rPr>
          <w:rFonts w:hint="eastAsia"/>
          <w:color w:val="auto"/>
          <w:sz w:val="16"/>
          <w:szCs w:val="16"/>
          <w:lang w:val="en-US" w:eastAsia="zh-CN"/>
        </w:rPr>
        <w:t>KKR      GeneralizedT    (np.float64(7.228193610201442), ... -1244.8947 -1234.3423</w:t>
      </w:r>
    </w:p>
    <w:p w14:paraId="2BEDDEA9">
      <w:pPr>
        <w:spacing w:line="240" w:lineRule="auto"/>
        <w:jc w:val="distribute"/>
        <w:rPr>
          <w:rFonts w:hint="eastAsia"/>
          <w:color w:val="auto"/>
          <w:sz w:val="16"/>
          <w:szCs w:val="16"/>
          <w:lang w:val="en-US" w:eastAsia="zh-CN"/>
        </w:rPr>
      </w:pPr>
      <w:r>
        <w:rPr>
          <w:rFonts w:hint="eastAsia"/>
          <w:color w:val="auto"/>
          <w:sz w:val="16"/>
          <w:szCs w:val="16"/>
          <w:lang w:val="en-US" w:eastAsia="zh-CN"/>
        </w:rPr>
        <w:t>MU       SkewNormal      (np.float64(2.2150280256287953),... -1189.3010 -1178.7486</w:t>
      </w:r>
    </w:p>
    <w:p w14:paraId="0EEA9FC5">
      <w:pPr>
        <w:spacing w:line="240" w:lineRule="auto"/>
        <w:jc w:val="distribute"/>
        <w:rPr>
          <w:rFonts w:hint="eastAsia"/>
          <w:color w:val="auto"/>
          <w:sz w:val="16"/>
          <w:szCs w:val="16"/>
          <w:lang w:val="en-US" w:eastAsia="zh-CN"/>
        </w:rPr>
      </w:pPr>
      <w:r>
        <w:rPr>
          <w:rFonts w:hint="eastAsia"/>
          <w:color w:val="auto"/>
          <w:sz w:val="16"/>
          <w:szCs w:val="16"/>
          <w:lang w:val="en-US" w:eastAsia="zh-CN"/>
        </w:rPr>
        <w:t>PLD      GeneralizedT    (np.float64(6.6757024571936014),... -1338.0347 -1327.4823</w:t>
      </w:r>
    </w:p>
    <w:p w14:paraId="6C3E484B">
      <w:pPr>
        <w:spacing w:line="240" w:lineRule="auto"/>
        <w:jc w:val="distribute"/>
        <w:rPr>
          <w:rFonts w:hint="eastAsia"/>
          <w:color w:val="auto"/>
          <w:sz w:val="16"/>
          <w:szCs w:val="16"/>
          <w:lang w:val="en-US" w:eastAsia="zh-CN"/>
        </w:rPr>
      </w:pPr>
      <w:r>
        <w:rPr>
          <w:rFonts w:hint="eastAsia"/>
          <w:color w:val="auto"/>
          <w:sz w:val="16"/>
          <w:szCs w:val="16"/>
          <w:lang w:val="en-US" w:eastAsia="zh-CN"/>
        </w:rPr>
        <w:t>LRCX     GeneralizedT    (np.float64(4.955105258330859), ... -1182.1052 -1171.5528</w:t>
      </w:r>
    </w:p>
    <w:p w14:paraId="16793FBB">
      <w:pPr>
        <w:spacing w:line="240" w:lineRule="auto"/>
        <w:jc w:val="distribute"/>
        <w:rPr>
          <w:rFonts w:hint="eastAsia"/>
          <w:color w:val="auto"/>
          <w:sz w:val="16"/>
          <w:szCs w:val="16"/>
          <w:lang w:val="en-US" w:eastAsia="zh-CN"/>
        </w:rPr>
      </w:pPr>
      <w:r>
        <w:rPr>
          <w:rFonts w:hint="eastAsia"/>
          <w:color w:val="auto"/>
          <w:sz w:val="16"/>
          <w:szCs w:val="16"/>
          <w:lang w:val="en-US" w:eastAsia="zh-CN"/>
        </w:rPr>
        <w:t>EQIX     GeneralizedT    (np.float64(5.295939280117), np.... -1383.3625 -1372.8101</w:t>
      </w:r>
    </w:p>
    <w:p w14:paraId="5D8095FA">
      <w:pPr>
        <w:spacing w:line="240" w:lineRule="auto"/>
        <w:jc w:val="distribute"/>
        <w:rPr>
          <w:rFonts w:hint="eastAsia"/>
          <w:color w:val="auto"/>
          <w:sz w:val="16"/>
          <w:szCs w:val="16"/>
          <w:lang w:val="en-US" w:eastAsia="zh-CN"/>
        </w:rPr>
      </w:pPr>
    </w:p>
    <w:p w14:paraId="4894B1F9">
      <w:pPr>
        <w:rPr>
          <w:rFonts w:hint="default"/>
          <w:color w:val="auto"/>
          <w:lang w:val="en-US" w:eastAsia="zh-CN"/>
        </w:rPr>
      </w:pPr>
      <w:r>
        <w:rPr>
          <w:rFonts w:hint="eastAsia"/>
          <w:color w:val="auto"/>
          <w:lang w:val="en-US" w:eastAsia="zh-CN"/>
        </w:rPr>
        <w:t>----------------------------------------------------------------</w:t>
      </w:r>
    </w:p>
    <w:p w14:paraId="19DFF4E9">
      <w:pPr>
        <w:pStyle w:val="3"/>
        <w:keepNext w:val="0"/>
        <w:keepLines w:val="0"/>
        <w:widowControl/>
        <w:suppressLineNumbers w:val="0"/>
        <w:rPr>
          <w:rFonts w:hint="default"/>
          <w:color w:val="auto"/>
          <w:lang w:val="en-US" w:eastAsia="zh-CN"/>
        </w:rPr>
      </w:pPr>
      <w:r>
        <w:rPr>
          <w:rFonts w:hint="eastAsia"/>
          <w:color w:val="auto"/>
          <w:lang w:val="en-US" w:eastAsia="zh-CN"/>
        </w:rPr>
        <w:t>Discussion on Question 4</w:t>
      </w:r>
    </w:p>
    <w:p w14:paraId="28F7628B">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Most stocks (95%) fit the Student’s t distribution best and only a few fit the NIG or Skew Normal laws. SPY was the only one that matched the normal law, while LOW matched NIG and GE, AMAT, MU matched Skew Normal. This shows that most returns have fat tails rather than being perfectly normal.</w:t>
      </w:r>
    </w:p>
    <w:p w14:paraId="3A9EE5E9">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When we compared one</w:t>
      </w:r>
      <w:r>
        <w:rPr>
          <w:color w:val="auto"/>
          <w:sz w:val="20"/>
          <w:szCs w:val="20"/>
        </w:rPr>
        <w:noBreakHyphen/>
      </w:r>
      <w:r>
        <w:rPr>
          <w:color w:val="auto"/>
          <w:sz w:val="20"/>
          <w:szCs w:val="20"/>
        </w:rPr>
        <w:t>day VaR and ES at 95%, the Gaussian Copula (GC) method gave slightly lower VaR for all portfolios (A: –4.6%, B: –3.4%, C: –7.3%, Total: –6.4%) but slightly higher ES for A and C (A: +0.9%, C: +1.0%) and lower ES for B (–3.0%). That means GC usually lowers the loss at the VaR cutoff but can raise or lower the expected loss beyond that cutoff.</w:t>
      </w:r>
    </w:p>
    <w:p w14:paraId="265C5064">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The differences arise because GC uses each stock’s best</w:t>
      </w:r>
      <w:r>
        <w:rPr>
          <w:color w:val="auto"/>
          <w:sz w:val="20"/>
          <w:szCs w:val="20"/>
        </w:rPr>
        <w:noBreakHyphen/>
      </w:r>
      <w:r>
        <w:rPr>
          <w:color w:val="auto"/>
          <w:sz w:val="20"/>
          <w:szCs w:val="20"/>
        </w:rPr>
        <w:t>fit marginal law and then glues them with a normal copula. This lets each margin keep its fat tails or skew and also lets tail events co</w:t>
      </w:r>
      <w:r>
        <w:rPr>
          <w:color w:val="auto"/>
          <w:sz w:val="20"/>
          <w:szCs w:val="20"/>
        </w:rPr>
        <w:noBreakHyphen/>
      </w:r>
      <w:r>
        <w:rPr>
          <w:color w:val="auto"/>
          <w:sz w:val="20"/>
          <w:szCs w:val="20"/>
        </w:rPr>
        <w:t>occur more or less often depending on the data. In contrast, the multivariate normal (MVN) forces all margins to be normal and ties them together only by linear correlation, so it can miss joint extremes when returns are heavy</w:t>
      </w:r>
      <w:r>
        <w:rPr>
          <w:color w:val="auto"/>
          <w:sz w:val="20"/>
          <w:szCs w:val="20"/>
        </w:rPr>
        <w:noBreakHyphen/>
      </w:r>
      <w:r>
        <w:rPr>
          <w:color w:val="auto"/>
          <w:sz w:val="20"/>
          <w:szCs w:val="20"/>
        </w:rPr>
        <w:t>tailed or skewed.</w:t>
      </w:r>
    </w:p>
    <w:p w14:paraId="12FA9AB3">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Because most stocks showed excess kurtosis, the GC approach down</w:t>
      </w:r>
      <w:r>
        <w:rPr>
          <w:color w:val="auto"/>
          <w:sz w:val="20"/>
          <w:szCs w:val="20"/>
        </w:rPr>
        <w:noBreakHyphen/>
      </w:r>
      <w:r>
        <w:rPr>
          <w:color w:val="auto"/>
          <w:sz w:val="20"/>
          <w:szCs w:val="20"/>
        </w:rPr>
        <w:t>weights extreme joint moves in VaR but up</w:t>
      </w:r>
      <w:r>
        <w:rPr>
          <w:color w:val="auto"/>
          <w:sz w:val="20"/>
          <w:szCs w:val="20"/>
        </w:rPr>
        <w:noBreakHyphen/>
      </w:r>
      <w:r>
        <w:rPr>
          <w:color w:val="auto"/>
          <w:sz w:val="20"/>
          <w:szCs w:val="20"/>
        </w:rPr>
        <w:t>weights them in ES when tails matter more. The MVN approach tends to spread risk evenly across days, so it can overestimate VaR for portfolios that mix heavy</w:t>
      </w:r>
      <w:r>
        <w:rPr>
          <w:color w:val="auto"/>
          <w:sz w:val="20"/>
          <w:szCs w:val="20"/>
        </w:rPr>
        <w:noBreakHyphen/>
      </w:r>
      <w:r>
        <w:rPr>
          <w:color w:val="auto"/>
          <w:sz w:val="20"/>
          <w:szCs w:val="20"/>
        </w:rPr>
        <w:t>tailed and light</w:t>
      </w:r>
      <w:r>
        <w:rPr>
          <w:color w:val="auto"/>
          <w:sz w:val="20"/>
          <w:szCs w:val="20"/>
        </w:rPr>
        <w:noBreakHyphen/>
      </w:r>
      <w:r>
        <w:rPr>
          <w:color w:val="auto"/>
          <w:sz w:val="20"/>
          <w:szCs w:val="20"/>
        </w:rPr>
        <w:t>tailed assets, and it can underestimate ES if the true tails are fatter than normal.</w:t>
      </w:r>
    </w:p>
    <w:p w14:paraId="13A1968E">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In practice, using the Gaussian Copula gave more realistic estimates of tail risk for our portfolios because it kept each stock’s real distribution shape. The multivariate normal gave simpler risk numbers but it could misstate how likely joint losses are when markets move together in extremes.</w:t>
      </w:r>
    </w:p>
    <w:p w14:paraId="22D55056">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This comparison shows that choosing the right marginal laws and dependence model matters. If we assume normality, we may get VaR and ES that look close but hide real tail risk. If we fit and simulate with GC, we see how non</w:t>
      </w:r>
      <w:r>
        <w:rPr>
          <w:color w:val="auto"/>
          <w:sz w:val="20"/>
          <w:szCs w:val="20"/>
        </w:rPr>
        <w:noBreakHyphen/>
      </w:r>
      <w:r>
        <w:rPr>
          <w:color w:val="auto"/>
          <w:sz w:val="20"/>
          <w:szCs w:val="20"/>
        </w:rPr>
        <w:t>normality and tail dependence change the risk measures.</w:t>
      </w:r>
    </w:p>
    <w:p w14:paraId="1D9CF622">
      <w:pPr>
        <w:pStyle w:val="34"/>
        <w:keepNext w:val="0"/>
        <w:keepLines w:val="0"/>
        <w:widowControl/>
        <w:suppressLineNumbers w:val="0"/>
        <w:spacing w:before="0" w:beforeAutospacing="1" w:after="0" w:afterAutospacing="1"/>
        <w:ind w:left="0" w:right="0"/>
        <w:rPr>
          <w:color w:val="auto"/>
          <w:sz w:val="20"/>
          <w:szCs w:val="20"/>
        </w:rPr>
      </w:pPr>
      <w:r>
        <w:rPr>
          <w:color w:val="auto"/>
          <w:sz w:val="20"/>
          <w:szCs w:val="20"/>
        </w:rPr>
        <w:t>Overall, the small VaR differences but mixed ES differences here suggest that our portfolios are not highly sensitive to the copula choice under normal market conditions, but they would be in a stress scenario. That makes the GC approach a better tool for stress testing and for meeting stricter risk controls.</w:t>
      </w:r>
    </w:p>
    <w:p w14:paraId="1E5789AE">
      <w:pPr>
        <w:rPr>
          <w:rFonts w:hint="default"/>
          <w:color w:val="auto"/>
          <w:lang w:val="en-US" w:eastAsia="zh-CN"/>
        </w:rPr>
      </w:pPr>
    </w:p>
    <w:p w14:paraId="06776092">
      <w:pPr>
        <w:pStyle w:val="3"/>
        <w:keepNext w:val="0"/>
        <w:keepLines w:val="0"/>
        <w:widowControl/>
        <w:suppressLineNumbers w:val="0"/>
        <w:rPr>
          <w:rFonts w:hint="eastAsia"/>
          <w:color w:val="auto"/>
          <w:lang w:val="en-US" w:eastAsia="zh-CN"/>
        </w:rPr>
      </w:pPr>
    </w:p>
    <w:p w14:paraId="326E91D2">
      <w:pPr>
        <w:pStyle w:val="3"/>
        <w:keepNext w:val="0"/>
        <w:keepLines w:val="0"/>
        <w:widowControl/>
        <w:suppressLineNumbers w:val="0"/>
        <w:rPr>
          <w:rFonts w:hint="eastAsia"/>
          <w:color w:val="auto"/>
          <w:lang w:val="en-US" w:eastAsia="zh-CN"/>
        </w:rPr>
      </w:pPr>
    </w:p>
    <w:p w14:paraId="2FD7714C">
      <w:pPr>
        <w:pStyle w:val="3"/>
        <w:keepNext w:val="0"/>
        <w:keepLines w:val="0"/>
        <w:widowControl/>
        <w:suppressLineNumbers w:val="0"/>
        <w:rPr>
          <w:rFonts w:hint="eastAsia"/>
          <w:color w:val="auto"/>
          <w:lang w:val="en-US" w:eastAsia="zh-CN"/>
        </w:rPr>
      </w:pPr>
    </w:p>
    <w:p w14:paraId="7A0F7ED5">
      <w:pPr>
        <w:pStyle w:val="3"/>
        <w:keepNext w:val="0"/>
        <w:keepLines w:val="0"/>
        <w:widowControl/>
        <w:suppressLineNumbers w:val="0"/>
        <w:rPr>
          <w:rFonts w:hint="eastAsia"/>
          <w:color w:val="auto"/>
          <w:lang w:val="en-US" w:eastAsia="zh-CN"/>
        </w:rPr>
      </w:pPr>
    </w:p>
    <w:p w14:paraId="0EC80621">
      <w:pPr>
        <w:pStyle w:val="3"/>
        <w:keepNext w:val="0"/>
        <w:keepLines w:val="0"/>
        <w:widowControl/>
        <w:suppressLineNumbers w:val="0"/>
        <w:rPr>
          <w:rFonts w:hint="eastAsia"/>
          <w:color w:val="auto"/>
          <w:lang w:val="en-US" w:eastAsia="zh-CN"/>
        </w:rPr>
      </w:pPr>
    </w:p>
    <w:p w14:paraId="3854927C">
      <w:pPr>
        <w:pStyle w:val="3"/>
        <w:keepNext w:val="0"/>
        <w:keepLines w:val="0"/>
        <w:widowControl/>
        <w:suppressLineNumbers w:val="0"/>
        <w:rPr>
          <w:rFonts w:hint="eastAsia"/>
          <w:color w:val="auto"/>
          <w:lang w:val="en-US" w:eastAsia="zh-CN"/>
        </w:rPr>
      </w:pPr>
    </w:p>
    <w:p w14:paraId="393DFA33">
      <w:pPr>
        <w:pStyle w:val="3"/>
        <w:keepNext w:val="0"/>
        <w:keepLines w:val="0"/>
        <w:widowControl/>
        <w:suppressLineNumbers w:val="0"/>
        <w:rPr>
          <w:rFonts w:hint="eastAsia"/>
          <w:color w:val="auto"/>
          <w:lang w:val="en-US" w:eastAsia="zh-CN"/>
        </w:rPr>
      </w:pPr>
    </w:p>
    <w:p w14:paraId="392AD58F">
      <w:pPr>
        <w:pStyle w:val="3"/>
        <w:keepNext w:val="0"/>
        <w:keepLines w:val="0"/>
        <w:widowControl/>
        <w:suppressLineNumbers w:val="0"/>
        <w:rPr>
          <w:rFonts w:hint="eastAsia"/>
          <w:color w:val="auto"/>
          <w:lang w:val="en-US" w:eastAsia="zh-CN"/>
        </w:rPr>
      </w:pPr>
    </w:p>
    <w:p w14:paraId="4E69C663">
      <w:pPr>
        <w:pStyle w:val="3"/>
        <w:keepNext w:val="0"/>
        <w:keepLines w:val="0"/>
        <w:widowControl/>
        <w:suppressLineNumbers w:val="0"/>
        <w:rPr>
          <w:rFonts w:hint="eastAsia"/>
          <w:color w:val="auto"/>
          <w:lang w:val="en-US" w:eastAsia="zh-CN"/>
        </w:rPr>
      </w:pPr>
    </w:p>
    <w:p w14:paraId="7DA20C1A">
      <w:pPr>
        <w:pStyle w:val="3"/>
        <w:keepNext w:val="0"/>
        <w:keepLines w:val="0"/>
        <w:widowControl/>
        <w:suppressLineNumbers w:val="0"/>
        <w:rPr>
          <w:rFonts w:hint="eastAsia"/>
          <w:color w:val="auto"/>
          <w:lang w:val="en-US" w:eastAsia="zh-CN"/>
        </w:rPr>
      </w:pPr>
    </w:p>
    <w:p w14:paraId="4E394A10">
      <w:pPr>
        <w:pStyle w:val="3"/>
        <w:keepNext w:val="0"/>
        <w:keepLines w:val="0"/>
        <w:widowControl/>
        <w:suppressLineNumbers w:val="0"/>
        <w:rPr>
          <w:rFonts w:hint="eastAsia"/>
          <w:color w:val="auto"/>
          <w:lang w:val="en-US" w:eastAsia="zh-CN"/>
        </w:rPr>
      </w:pPr>
      <w:r>
        <w:rPr>
          <w:rFonts w:hint="eastAsia"/>
          <w:color w:val="auto"/>
          <w:lang w:val="en-US" w:eastAsia="zh-CN"/>
        </w:rPr>
        <w:t>Part 5</w:t>
      </w:r>
    </w:p>
    <w:p w14:paraId="48A0E7CE">
      <w:pPr>
        <w:rPr>
          <w:rFonts w:hint="default"/>
          <w:color w:val="auto"/>
          <w:lang w:val="en-US" w:eastAsia="zh-CN"/>
        </w:rPr>
      </w:pPr>
    </w:p>
    <w:p w14:paraId="0B8AD53C">
      <w:pPr>
        <w:rPr>
          <w:rFonts w:hint="eastAsia" w:eastAsia="宋体"/>
          <w:color w:val="auto"/>
          <w:lang w:eastAsia="zh-CN"/>
        </w:rPr>
      </w:pPr>
      <w:r>
        <w:rPr>
          <w:rFonts w:hint="eastAsia" w:eastAsia="宋体"/>
          <w:color w:val="auto"/>
          <w:lang w:eastAsia="zh-CN"/>
        </w:rPr>
        <w:drawing>
          <wp:inline distT="0" distB="0" distL="114300" distR="114300">
            <wp:extent cx="5480685" cy="5842000"/>
            <wp:effectExtent l="0" t="0" r="5715" b="0"/>
            <wp:docPr id="11" name="Picture 11" descr="Screenshot 2025-04-19 at 00.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4-19 at 00.55.05"/>
                    <pic:cNvPicPr>
                      <a:picLocks noChangeAspect="1"/>
                    </pic:cNvPicPr>
                  </pic:nvPicPr>
                  <pic:blipFill>
                    <a:blip r:embed="rId10"/>
                    <a:stretch>
                      <a:fillRect/>
                    </a:stretch>
                  </pic:blipFill>
                  <pic:spPr>
                    <a:xfrm>
                      <a:off x="0" y="0"/>
                      <a:ext cx="5480685" cy="5842000"/>
                    </a:xfrm>
                    <a:prstGeom prst="rect">
                      <a:avLst/>
                    </a:prstGeom>
                  </pic:spPr>
                </pic:pic>
              </a:graphicData>
            </a:graphic>
          </wp:inline>
        </w:drawing>
      </w:r>
    </w:p>
    <w:p w14:paraId="299C351D">
      <w:pPr>
        <w:rPr>
          <w:rFonts w:hint="eastAsia" w:eastAsia="宋体"/>
          <w:color w:val="auto"/>
          <w:lang w:eastAsia="zh-CN"/>
        </w:rPr>
      </w:pPr>
    </w:p>
    <w:p w14:paraId="578C8BA6">
      <w:pPr>
        <w:rPr>
          <w:rFonts w:hint="eastAsia" w:eastAsia="宋体"/>
          <w:color w:val="auto"/>
          <w:lang w:eastAsia="zh-CN"/>
        </w:rPr>
      </w:pPr>
      <w:r>
        <w:rPr>
          <w:rFonts w:hint="eastAsia" w:eastAsia="宋体"/>
          <w:color w:val="auto"/>
          <w:lang w:eastAsia="zh-CN"/>
        </w:rPr>
        <w:drawing>
          <wp:inline distT="0" distB="0" distL="114300" distR="114300">
            <wp:extent cx="5483225" cy="5361940"/>
            <wp:effectExtent l="0" t="0" r="3175" b="22860"/>
            <wp:docPr id="12" name="Picture 12" descr="Screenshot 2025-04-19 at 00.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4-19 at 00.55.13"/>
                    <pic:cNvPicPr>
                      <a:picLocks noChangeAspect="1"/>
                    </pic:cNvPicPr>
                  </pic:nvPicPr>
                  <pic:blipFill>
                    <a:blip r:embed="rId11"/>
                    <a:stretch>
                      <a:fillRect/>
                    </a:stretch>
                  </pic:blipFill>
                  <pic:spPr>
                    <a:xfrm>
                      <a:off x="0" y="0"/>
                      <a:ext cx="5483225" cy="5361940"/>
                    </a:xfrm>
                    <a:prstGeom prst="rect">
                      <a:avLst/>
                    </a:prstGeom>
                  </pic:spPr>
                </pic:pic>
              </a:graphicData>
            </a:graphic>
          </wp:inline>
        </w:drawing>
      </w:r>
      <w:r>
        <w:rPr>
          <w:rFonts w:hint="eastAsia" w:eastAsia="宋体"/>
          <w:color w:val="auto"/>
          <w:lang w:eastAsia="zh-CN"/>
        </w:rPr>
        <w:drawing>
          <wp:inline distT="0" distB="0" distL="114300" distR="114300">
            <wp:extent cx="5480050" cy="3784600"/>
            <wp:effectExtent l="0" t="0" r="6350" b="0"/>
            <wp:docPr id="13" name="Picture 13" descr="Screenshot 2025-04-19 at 0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4-19 at 00.55.18"/>
                    <pic:cNvPicPr>
                      <a:picLocks noChangeAspect="1"/>
                    </pic:cNvPicPr>
                  </pic:nvPicPr>
                  <pic:blipFill>
                    <a:blip r:embed="rId12"/>
                    <a:stretch>
                      <a:fillRect/>
                    </a:stretch>
                  </pic:blipFill>
                  <pic:spPr>
                    <a:xfrm>
                      <a:off x="0" y="0"/>
                      <a:ext cx="5480050" cy="3784600"/>
                    </a:xfrm>
                    <a:prstGeom prst="rect">
                      <a:avLst/>
                    </a:prstGeom>
                  </pic:spPr>
                </pic:pic>
              </a:graphicData>
            </a:graphic>
          </wp:inline>
        </w:drawing>
      </w:r>
    </w:p>
    <w:p w14:paraId="1041A578">
      <w:pPr>
        <w:keepNext w:val="0"/>
        <w:keepLines w:val="0"/>
        <w:widowControl/>
        <w:suppressLineNumbers w:val="0"/>
        <w:jc w:val="left"/>
        <w:rPr>
          <w:rFonts w:hint="default" w:asciiTheme="minorAscii" w:hAnsiTheme="minorAscii"/>
          <w:color w:val="auto"/>
          <w:sz w:val="20"/>
          <w:szCs w:val="20"/>
        </w:rPr>
      </w:pPr>
      <w:r>
        <w:rPr>
          <w:rFonts w:hint="default" w:eastAsia="宋体" w:cs="宋体" w:asciiTheme="minorAscii" w:hAnsiTheme="minorAscii"/>
          <w:color w:val="auto"/>
          <w:kern w:val="0"/>
          <w:sz w:val="20"/>
          <w:szCs w:val="20"/>
          <w:lang w:val="en-US" w:eastAsia="zh-CN" w:bidi="ar"/>
        </w:rPr>
        <w:t>Using the fitted marginal laws and the Gaussian Copula, I built ES‐based risk parity portfolios for A, B, and C. Then I ran CAPM attribution with the same betas from Part 1. Here is how they compare to the original weights (Part 1) and the Sharpe‐optimal weights (Part 2).</w:t>
      </w:r>
    </w:p>
    <w:p w14:paraId="5365A42D">
      <w:pPr>
        <w:pStyle w:val="34"/>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color w:val="auto"/>
          <w:sz w:val="20"/>
          <w:szCs w:val="20"/>
        </w:rPr>
        <w:t>First, looking at the total portfolio, the original weights from Part 1 returned 20.47% with a systematic contribution of 24.93% and an idiosyncratic drag of –4.46% (beta 0.95). When we shifted to the Sharpe‐optimal weights in Part 2, total return jumped to 28.39% with a systematic return of 26.44% and idiosyncratic gain of 1.95% (beta 1.01). The ES‐based risk parity portfolio lands in between: it delivered 24.95% total return, 21.93% systematic, and 3.02% idiosyncratic (beta 0.84). In other words, risk parity gives up some market return versus the Sharpe mix but turns the large negative stock‐specific losses in Part 1 into a positive idiosyncratic contribution, all while lowering overall market exposure.</w:t>
      </w:r>
    </w:p>
    <w:p w14:paraId="4442EB19">
      <w:pPr>
        <w:pStyle w:val="34"/>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color w:val="auto"/>
          <w:sz w:val="20"/>
          <w:szCs w:val="20"/>
        </w:rPr>
        <w:t>Turning to Portfolio A, the original CAPM attribution showed a modest 13.66% return driven by 25.29% systematic offset by –11.63% idiosyncratic (beta 0.97). The Sharpe‐optimal version captured 28.86%, with 26.41% market and +2.45% stock‐specific gains (beta 1.01). Under risk parity, A returned 19.22%, with 21.61% systematic and –2.39% idiosyncratic (beta 0.83). This means risk parity recovers most of the idiosyncratic loss seen in Part 1—shrinking it from –11.63% to –2.39%—and reduces beta, though at the cost of some market return compared to the Sharpe portfolio.</w:t>
      </w:r>
    </w:p>
    <w:p w14:paraId="3F9D1EC5">
      <w:pPr>
        <w:pStyle w:val="34"/>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color w:val="auto"/>
          <w:sz w:val="20"/>
          <w:szCs w:val="20"/>
        </w:rPr>
        <w:t>For Portfolio B, the original holdings returned 20.35% (24.07% market, –3.72% idiosyncratic, beta 0.92). The Sharpe‐optimal mix improved that to 25.79% (26.32% and –0.53%, beta 1.01). Risk parity matched the Sharpe return at 25.80% but with only 22.00% systematic and +3.80% idiosyncratic (beta 0.84). In effect, ES‐based risk parity preserved the high total return of the Sharpe portfolio while cutting market exposure and flipping a small negative idiosyncratic outcome into a strong positive.</w:t>
      </w:r>
    </w:p>
    <w:p w14:paraId="13C2F444">
      <w:pPr>
        <w:pStyle w:val="34"/>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color w:val="auto"/>
          <w:sz w:val="20"/>
          <w:szCs w:val="20"/>
        </w:rPr>
        <w:t>Finally, Portfolio C originally returned 28.12% (25.43% systematic, +2.68% idiosyncratic, beta 0.97). The Sharpe mix nudged that to 30.59% (26.59% and +4.00%, beta 1.02). Risk parity achieved 29.84%, with 22.18% market and +7.65% stock‐specific gains (beta 0.85). Thus it nearly matches the Sharpe return, materially lowers beta, and more than doubles the idiosyncratic gain versus the original.</w:t>
      </w:r>
    </w:p>
    <w:p w14:paraId="39D4EFC6">
      <w:pPr>
        <w:pStyle w:val="34"/>
        <w:keepNext w:val="0"/>
        <w:keepLines w:val="0"/>
        <w:widowControl/>
        <w:suppressLineNumbers w:val="0"/>
        <w:spacing w:before="0" w:beforeAutospacing="1" w:after="0" w:afterAutospacing="1"/>
        <w:ind w:left="0" w:right="0"/>
        <w:rPr>
          <w:rFonts w:hint="default" w:asciiTheme="minorAscii" w:hAnsiTheme="minorAscii"/>
          <w:color w:val="auto"/>
          <w:sz w:val="20"/>
          <w:szCs w:val="20"/>
        </w:rPr>
      </w:pPr>
      <w:r>
        <w:rPr>
          <w:rFonts w:hint="default" w:asciiTheme="minorAscii" w:hAnsiTheme="minorAscii"/>
          <w:color w:val="auto"/>
          <w:sz w:val="20"/>
          <w:szCs w:val="20"/>
        </w:rPr>
        <w:t>Overall, rerunning the Part 1 CAPM attribution on ES‐based risk parity portfolios shows a consistent pattern: idiosyncratic contributions move from large negatives in the original to modest or substantial positives, and betas fall below both original and Sharpe‐optimal levels. Compared to Part 1, risk parity turns drag into alpha and reduces market risk. Compared to Part 2, it trades some systematic upside for much stronger control of tail risk and higher stock‐specific returns, making the allocations more robust to extreme events.</w:t>
      </w:r>
    </w:p>
    <w:p w14:paraId="35286F28">
      <w:pPr>
        <w:rPr>
          <w:rFonts w:hint="eastAsia" w:eastAsia="宋体"/>
          <w:color w:val="auto"/>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Arial Regular">
    <w:panose1 w:val="020B0704020202020204"/>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C3F52"/>
    <w:multiLevelType w:val="multilevel"/>
    <w:tmpl w:val="BFEC3F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F6EB4C0"/>
    <w:multiLevelType w:val="multilevel"/>
    <w:tmpl w:val="6F6EB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D6E76E"/>
    <w:rsid w:val="7EC7B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Annastasia Huang</cp:lastModifiedBy>
  <dcterms:modified xsi:type="dcterms:W3CDTF">2025-04-19T01:50:47Z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B6508653DAB38761B7390368224E0F14_43</vt:lpwstr>
  </property>
</Properties>
</file>