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数字影像采集与复制合规指南</w:t>
      </w:r>
    </w:p>
    <w:p>
      <w:pPr>
        <w:jc w:val="center"/>
      </w:pPr>
      <w:r>
        <w:rPr>
          <w:b/>
          <w:color w:val="595959"/>
          <w:sz w:val="22"/>
        </w:rPr>
        <w:t>面向摄影、扫描、资料整理与公开发布场景</w:t>
      </w:r>
    </w:p>
    <w:p>
      <w:pPr>
        <w:jc w:val="center"/>
      </w:pPr>
      <w:r>
        <w:rPr>
          <w:i/>
          <w:color w:val="6E6E6E"/>
          <w:sz w:val="18"/>
        </w:rPr>
        <w:t>参考相机使用说明中的“拷贝或复制限制”与“著作权法声明”整理</w:t>
      </w:r>
    </w:p>
    <w:p/>
    <w:p>
      <w:pPr>
        <w:spacing w:line="360" w:lineRule="auto"/>
      </w:pPr>
      <w:r>
        <w:t>数码相机、扫描仪和智能手机让资料复制变得非常容易，但“能够拍下来”并不等于“可以自由保存、传播或再利用”。在工作记录、课程作业、档案数字化、展览拍摄和自媒体发布中，操作者需要同时判断拍摄对象是否合法、复制行为是否受到限制、作品是否具有著作权，以及最终用途是否超出个人合理使用范围。本指南将相关风险转化为可执行的工作流程，帮助使用者在按下快门前、整理文件时和公开发布前完成基本合规判断。</w:t>
      </w:r>
    </w:p>
    <w:p>
      <w:pPr>
        <w:pStyle w:val="Heading1"/>
      </w:pPr>
      <w:r>
        <w:t>一、先区分“记录”“复制”和“公开使用”</w:t>
      </w:r>
    </w:p>
    <w:p>
      <w:pPr>
        <w:spacing w:line="348" w:lineRule="auto" w:after="120"/>
      </w:pPr>
      <w:r>
        <w:t>记录是为了保存现场信息，例如拍摄设备状态、会议白板或个人物品；复制是把票证、文件、图像等制作成可以替代原件的数字副本；公开使用则包括上传网络、印刷、展览、商业宣传或提供给第三方。三者的风险并不相同。仅供个人查看的照片，也可能因为拍摄对象属于受限制材料而存在问题；即使拍摄本身允许，后续传播仍可能侵犯他人的著作权、肖像权益或商业秘密。</w:t>
      </w:r>
    </w:p>
    <w:p>
      <w:pPr>
        <w:spacing w:line="348" w:lineRule="auto" w:after="120"/>
      </w:pPr>
      <w:r>
        <w:t>实际操作时，应先回答三个问题：拍摄对象是什么；拍摄后由谁使用；使用范围是私人保存、内部协作还是对外公开。用途越接近证明身份、支付结算、商业发行或公开传播，越应谨慎。</w:t>
      </w:r>
    </w:p>
    <w:p>
      <w:pPr>
        <w:pStyle w:val="Heading1"/>
      </w:pPr>
      <w:r>
        <w:t>二、不得把相机当成证件和有价凭证的复制工具</w:t>
      </w:r>
    </w:p>
    <w:p>
      <w:pPr>
        <w:spacing w:line="348" w:lineRule="auto" w:after="120"/>
      </w:pPr>
      <w:r>
        <w:t>纸币、硬币、有价证券、国债或地方债券等具有支付、兑换或权利证明功能的材料，不应通过拍照、扫描等方式制作可被误认为真实凭证的副本。即使在图像上标注“样本”，也不能当然排除法律风险。国外流通货币、尚未使用的邮票或明信片、政府发行的证明文档，同样可能受到专门限制。</w:t>
      </w:r>
    </w:p>
    <w:p>
      <w:pPr>
        <w:spacing w:line="348" w:lineRule="auto" w:after="120"/>
      </w:pPr>
      <w:r>
        <w:t>对于护照、身份证、许可证、通行证、餐券、月票、优惠券、支票、礼券以及企业依法发行的股票或债券，应遵循“最少采集”原则。确有业务需要时，只采集必要字段，并通过遮挡号码、降低分辨率、添加用途水印、限制访问权限和设置保留期限等方式降低滥用风险。</w:t>
      </w:r>
    </w:p>
    <w:p>
      <w:pPr>
        <w:pStyle w:val="Heading1"/>
      </w:pPr>
      <w:r>
        <w:t>三、著作权风险通常发生在“使用阶段”</w:t>
      </w:r>
    </w:p>
    <w:p>
      <w:pPr>
        <w:spacing w:line="348" w:lineRule="auto" w:after="120"/>
      </w:pPr>
      <w:r>
        <w:t>照片中可能包含书籍页面、海报、绘画、摄影作品、舞台表演、电影画面、展览作品或他人制作的视频内容。这些对象往往具有著作权。个人留存并不意味着可以进一步上传、剪辑、印刷或用于宣传。尤其是在展览、演唱会、戏剧和现场表演中，即使只为个人使用，主办方规则或相关法律也可能限制拍摄与传播。</w:t>
      </w:r>
    </w:p>
    <w:p>
      <w:pPr>
        <w:spacing w:line="348" w:lineRule="auto" w:after="120"/>
      </w:pPr>
      <w:r>
        <w:t>判断能否使用时，应确认作品是否仍受保护、是否取得权利人授权、使用目的是否具有商业性、是否截取了作品的核心表达，以及发布行为是否会替代原作品的正常市场。无法确认时，优先使用自己创作的素材、获得明确授权的素材或标注了可复用许可的素材。</w:t>
      </w:r>
    </w:p>
    <w:p>
      <w:pPr>
        <w:pStyle w:val="Heading1"/>
      </w:pPr>
      <w:r>
        <w:t>四、建立团队化的影像合规流程</w:t>
      </w:r>
    </w:p>
    <w:p>
      <w:pPr>
        <w:spacing w:line="348" w:lineRule="auto" w:after="120"/>
      </w:pPr>
      <w:r>
        <w:t>在组织内部，可把影像文件分为“公开素材、内部资料、敏感凭证、禁止复制”四级。拍摄人员在文件名或元数据中标记来源、时间、授权状态和用途；整理人员不得擅自改变用途；发布人员在上线前再次检查隐私、著作权和凭证信息。涉及证件、合同或付款凭证时，应优先使用经过审批的扫描系统，而不是个人相机或手机。</w:t>
      </w:r>
    </w:p>
    <w:p>
      <w:pPr>
        <w:spacing w:line="348" w:lineRule="auto" w:after="120"/>
      </w:pPr>
      <w:r>
        <w:t>文件存储应遵循权限最小化原则。敏感图像不应长期保存在公共群聊、个人相册自动同步目录或开放网盘中。项目结束后，应按照制度删除临时副本，并保留必要的授权记录和处理日志。</w:t>
      </w:r>
    </w:p>
    <w:p>
      <w:pPr>
        <w:pStyle w:val="Heading1"/>
      </w:pPr>
      <w:r>
        <w:t>五、发布前六项自查</w:t>
      </w:r>
    </w:p>
    <w:p>
      <w:pPr>
        <w:spacing w:line="348" w:lineRule="auto" w:after="120"/>
      </w:pPr>
      <w:r>
        <w:t>1. 图像中是否出现货币、有价证券、证件、许可证或可兑换票据；</w:t>
      </w:r>
    </w:p>
    <w:p>
      <w:pPr>
        <w:spacing w:line="324" w:lineRule="auto"/>
        <w:ind w:left="170"/>
      </w:pPr>
      <w:r>
        <w:t>2. 是否拍摄了书籍、展品、舞台表演或其他受著作权保护的内容；</w:t>
      </w:r>
    </w:p>
    <w:p>
      <w:pPr>
        <w:spacing w:line="324" w:lineRule="auto"/>
        <w:ind w:left="170"/>
      </w:pPr>
      <w:r>
        <w:t>3. 是否取得拍摄对象、场地方或权利人的许可；</w:t>
      </w:r>
    </w:p>
    <w:p>
      <w:pPr>
        <w:spacing w:line="324" w:lineRule="auto"/>
        <w:ind w:left="170"/>
      </w:pPr>
      <w:r>
        <w:t>4. 是否包含身份证号、住址、账户、二维码、序列号等敏感信息；</w:t>
      </w:r>
    </w:p>
    <w:p>
      <w:pPr>
        <w:spacing w:line="324" w:lineRule="auto"/>
        <w:ind w:left="170"/>
      </w:pPr>
      <w:r>
        <w:t>5. 发布范围是否超出最初采集目的；</w:t>
      </w:r>
    </w:p>
    <w:p>
      <w:pPr>
        <w:spacing w:line="324" w:lineRule="auto"/>
        <w:ind w:left="170"/>
      </w:pPr>
      <w:r>
        <w:t>6. 是否可以通过裁剪、打码、降清晰度或改用自制素材来降低风险。</w:t>
      </w:r>
    </w:p>
    <w:p>
      <w:pPr>
        <w:pStyle w:val="Heading1"/>
      </w:pPr>
      <w:r>
        <w:t>结语</w:t>
      </w:r>
    </w:p>
    <w:p>
      <w:pPr>
        <w:spacing w:line="348" w:lineRule="auto" w:after="120"/>
      </w:pPr>
      <w:r>
        <w:t>影像合规不是阻止记录，而是要求记录行为与用途相匹配。最稳妥的原则是：不复制具有支付或身份凭证功能的材料，不擅自传播他人作品，不超范围使用已采集图像，并在不确定时先获得授权。把这些判断嵌入日常拍摄和文件管理流程，可以同时保护拍摄者、被拍摄者和内容权利人的合法权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vAlign w:val="center"/>
            <w:shd w:fill="EAF3F1"/>
          </w:tcPr>
          <w:p>
            <w:pPr>
              <w:jc w:val="center"/>
            </w:pPr>
            <w:r>
              <w:rPr>
                <w:b/>
                <w:color w:val="2F6B5F"/>
              </w:rPr>
              <w:t>核心原则：合法对象、明确授权、最少采集、限定用途、安全保存。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参考部分：原PDF印刷页码39-40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