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b/>
          <w:bCs/>
          <w:sz w:val="36"/>
          <w:szCs w:val="36"/>
        </w:rPr>
        <w:t xml:space="preserve">Canvas do Projeto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Sistema de Atendimento e Gerenciamento de Chamados de TI</w:t>
      </w:r>
    </w:p>
    <w:tbl>
      <w:tblPr>
        <w:tblW w:type="dxa" w:w="129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shd w:fill="F4F8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2C3E50"/>
                <w:sz w:val="17"/>
                <w:szCs w:val="17"/>
              </w:rPr>
              <w:t xml:space="preserve">JUSTIFICATIVA</w:t>
            </w:r>
          </w:p>
          <w:p>
            <w:r>
              <w:rPr>
                <w:sz w:val="16"/>
                <w:szCs w:val="16"/>
              </w:rPr>
              <w:t xml:space="preserve">Setores de TI, mesmo em organizações pequenas, frequentemente não têm uma ferramenta estruturada para registrar e acompanhar chamados de suporte — o que causa perda de solicitações, falta de histórico e dificuldade de medir o desempenho da equipe. Soluções prontas (como o GLPI) são robustas, porém complexas de configurar. Este projeto propõe uma solução web enxuta e sob medida.</w:t>
            </w:r>
          </w:p>
        </w:tc>
      </w:tr>
      <w:tr>
        <w:tc>
          <w:tcPr>
            <w:tcW w:type="dxa" w:w="4333"/>
            <w:shd w:fill="E8EE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2C3E50"/>
                <w:sz w:val="17"/>
                <w:szCs w:val="17"/>
              </w:rPr>
              <w:t xml:space="preserve">OBJETIVO SMART</w:t>
            </w:r>
          </w:p>
          <w:p>
            <w:r>
              <w:rPr>
                <w:sz w:val="16"/>
                <w:szCs w:val="16"/>
              </w:rPr>
              <w:t xml:space="preserve">Desenvolver, até a data de entrega do TCC, uma plataforma web funcional de gerenciamento de chamados de TI, contemplando os perfis Solicitante, Técnico e Gestor/Administrador, com abertura, atendimento, encerramento e acompanhamento de chamados, validada por testes automatizados e demonstração funcional perante a banca.</w:t>
            </w:r>
          </w:p>
        </w:tc>
        <w:tc>
          <w:tcPr>
            <w:tcW w:type="dxa" w:w="4333"/>
            <w:shd w:fill="F4F8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2C3E50"/>
                <w:sz w:val="17"/>
                <w:szCs w:val="17"/>
              </w:rPr>
              <w:t xml:space="preserve">BENEFÍCIOS</w:t>
            </w:r>
          </w:p>
          <w:p>
            <w:r>
              <w:rPr>
                <w:sz w:val="16"/>
                <w:szCs w:val="16"/>
              </w:rPr>
              <w:t xml:space="preserve">Centralização dos chamados em um único lugar; histórico completo de atendimentos; visibilidade gerencial via dashboard; redução do tempo de resposta ao usuário; base pronta para evolução futura (anexos, notificações, SLA).</w:t>
            </w:r>
          </w:p>
        </w:tc>
        <w:tc>
          <w:tcPr>
            <w:tcW w:type="dxa" w:w="4333"/>
            <w:shd w:fill="E8EE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2C3E50"/>
                <w:sz w:val="17"/>
                <w:szCs w:val="17"/>
              </w:rPr>
              <w:t xml:space="preserve">PRODUTO</w:t>
            </w:r>
          </w:p>
          <w:p>
            <w:r>
              <w:rPr>
                <w:sz w:val="16"/>
                <w:szCs w:val="16"/>
              </w:rPr>
              <w:t xml:space="preserve">Sistema web (Django) de chamados de TI com autenticação por perfil, Central do Solicitante, Fila do Técnico, Dashboard gerencial e documentação técnica completa (requisitos, diagramas UML, testes automatizados).</w:t>
            </w:r>
          </w:p>
        </w:tc>
      </w:tr>
      <w:tr>
        <w:tc>
          <w:tcPr>
            <w:tcW w:type="dxa" w:w="8666"/>
            <w:gridSpan w:val="2"/>
            <w:shd w:fill="F4F8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2C3E50"/>
                <w:sz w:val="17"/>
                <w:szCs w:val="17"/>
              </w:rPr>
              <w:t xml:space="preserve">REQUISITOS</w:t>
            </w:r>
          </w:p>
          <w:p>
            <w:r>
              <w:rPr>
                <w:sz w:val="16"/>
                <w:szCs w:val="16"/>
              </w:rPr>
              <w:t xml:space="preserve">Login por perfil; abrir chamado (categoria, tipo, título, descrição); fila de atendimento visível aos técnicos; assumir e fechar chamado com comentário obrigatório; reabertura pelo solicitante; redistribuição pelo gestor; dashboard com indicadores.</w:t>
            </w:r>
          </w:p>
        </w:tc>
        <w:tc>
          <w:tcPr>
            <w:tcW w:type="dxa" w:w="4333"/>
            <w:shd w:fill="E8EE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2C3E50"/>
                <w:sz w:val="17"/>
                <w:szCs w:val="17"/>
              </w:rPr>
              <w:t xml:space="preserve">STAKEHOLDERS</w:t>
            </w:r>
          </w:p>
          <w:p>
            <w:r>
              <w:rPr>
                <w:sz w:val="16"/>
                <w:szCs w:val="16"/>
              </w:rPr>
              <w:t xml:space="preserve">Autor do projeto (desenvolvedor); orientador do TCC; banca avaliadora; usuários-piloto (solicitantes e técnicos de teste); futura organização interessada em adotar o sistema.</w:t>
            </w:r>
          </w:p>
        </w:tc>
      </w:tr>
      <w:tr>
        <w:tc>
          <w:tcPr>
            <w:tcW w:type="dxa" w:w="4333"/>
            <w:shd w:fill="E8EE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2C3E50"/>
                <w:sz w:val="17"/>
                <w:szCs w:val="17"/>
              </w:rPr>
              <w:t xml:space="preserve">PREMISSAS</w:t>
            </w:r>
          </w:p>
          <w:p>
            <w:r>
              <w:rPr>
                <w:sz w:val="16"/>
                <w:szCs w:val="16"/>
              </w:rPr>
              <w:t xml:space="preserve">Acesso a ambiente de desenvolvimento local (Python/Django); conhecimento técnico adquirido ao longo do projeto; escopo ajustável conforme o calendário acadêmico.</w:t>
            </w:r>
          </w:p>
        </w:tc>
        <w:tc>
          <w:tcPr>
            <w:tcW w:type="dxa" w:w="4333"/>
            <w:shd w:fill="F4F8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2C3E50"/>
                <w:sz w:val="17"/>
                <w:szCs w:val="17"/>
              </w:rPr>
              <w:t xml:space="preserve">GRUPOS DE ENTREGA (EAP RESUMIDA)</w:t>
            </w:r>
          </w:p>
          <w:p>
            <w:r>
              <w:rPr>
                <w:sz w:val="16"/>
                <w:szCs w:val="16"/>
              </w:rPr>
              <w:t xml:space="preserve">1) Escopo e requisitos · 2) Modelagem UML · 3) Ambiente + autenticação · 4) Módulo Solicitante · 5) Módulo Técnico · 6) Dashboard · 7) Testes automatizados · 8) Documentação de gestão · 9) Apresentação final.</w:t>
            </w:r>
          </w:p>
        </w:tc>
        <w:tc>
          <w:tcPr>
            <w:tcW w:type="dxa" w:w="4333"/>
            <w:shd w:fill="E8EE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2C3E50"/>
                <w:sz w:val="17"/>
                <w:szCs w:val="17"/>
              </w:rPr>
              <w:t xml:space="preserve">RESTRIÇÕES</w:t>
            </w:r>
          </w:p>
          <w:p>
            <w:r>
              <w:rPr>
                <w:sz w:val="16"/>
                <w:szCs w:val="16"/>
              </w:rPr>
              <w:t xml:space="preserve">Prazo definido pelo calendário acadêmico; desenvolvimento por um único integrante; sem orçamento para hospedagem paga; sem infraestrutura de servidor própria.</w:t>
            </w:r>
          </w:p>
        </w:tc>
      </w:tr>
      <w:tr>
        <w:tc>
          <w:tcPr>
            <w:gridSpan w:val="3"/>
            <w:shd w:fill="DFE9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2C3E50"/>
                <w:sz w:val="17"/>
                <w:szCs w:val="17"/>
              </w:rPr>
              <w:t xml:space="preserve">LINHA DO TEMPO / MARCOS</w:t>
            </w:r>
          </w:p>
          <w:p>
            <w:r>
              <w:rPr>
                <w:sz w:val="16"/>
                <w:szCs w:val="16"/>
              </w:rPr>
              <w:t xml:space="preserve">Escopo  →  Modelagem UML  →  Ambiente + Autenticação  →  Módulo Solicitante  →  Módulo Técnico  →  Dashboard  →  Testes Automatizados  →  Documentação de Gestão  →  Apresentação / Defesa.</w:t>
            </w:r>
          </w:p>
        </w:tc>
      </w:tr>
      <w:tr>
        <w:tc>
          <w:tcPr>
            <w:tcW w:type="dxa" w:w="4333"/>
            <w:shd w:fill="E8EE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2C3E50"/>
                <w:sz w:val="17"/>
                <w:szCs w:val="17"/>
              </w:rPr>
              <w:t xml:space="preserve">EQUIPE</w:t>
            </w:r>
          </w:p>
          <w:p>
            <w:r>
              <w:rPr>
                <w:sz w:val="16"/>
                <w:szCs w:val="16"/>
              </w:rPr>
              <w:t xml:space="preserve">Autor do projeto, atuando como desenvolvedor, analista e testador. Orientador do TCC em supervisão acadêmica.</w:t>
            </w:r>
          </w:p>
        </w:tc>
        <w:tc>
          <w:tcPr>
            <w:tcW w:type="dxa" w:w="4333"/>
            <w:shd w:fill="F4F8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2C3E50"/>
                <w:sz w:val="17"/>
                <w:szCs w:val="17"/>
              </w:rPr>
              <w:t xml:space="preserve">RISCOS</w:t>
            </w:r>
          </w:p>
          <w:p>
            <w:r>
              <w:rPr>
                <w:sz w:val="16"/>
                <w:szCs w:val="16"/>
              </w:rPr>
              <w:t xml:space="preserve">Atraso de cronograma, mudança de escopo, indisponibilidade do desenvolvedor único, falhas de segurança e incompatibilidade de versões — detalhados na Análise de Risco (documento apartado).</w:t>
            </w:r>
          </w:p>
        </w:tc>
        <w:tc>
          <w:tcPr>
            <w:tcW w:type="dxa" w:w="4333"/>
            <w:shd w:fill="E8EE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2C3E50"/>
                <w:sz w:val="17"/>
                <w:szCs w:val="17"/>
              </w:rPr>
              <w:t xml:space="preserve">CUSTOS</w:t>
            </w:r>
          </w:p>
          <w:p>
            <w:r>
              <w:rPr>
                <w:sz w:val="16"/>
                <w:szCs w:val="16"/>
              </w:rPr>
              <w:t xml:space="preserve">Sem custos de licenciamento (stack open-source: Python, Django, SQLite, Bootstrap). Custo principal: horas de desenvolvimento do autor. Eventual custo futuro de hospedagem, caso o sistema seja colocado em produção.</w:t>
            </w:r>
          </w:p>
        </w:tc>
      </w:tr>
    </w:tbl>
    <w:sectPr>
      <w:pgSz w:w="15840" w:h="12240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2026-10-07T21:29:09.961Z</dcterms:created>
  <dcterms:modified xsi:type="dcterms:W3CDTF">2026-10-07T21:29:09.961Z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