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36"/>
          <w:szCs w:val="36"/>
        </w:rPr>
        <w:t xml:space="preserve">Análise de Risco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Sistema de Atendimento e Gerenciamento de Chamados de TI</w:t>
      </w:r>
    </w:p>
    <w:p>
      <w:pPr>
        <w:pStyle w:val="Heading1"/>
        <w:spacing w:after="200" w:before="200"/>
      </w:pPr>
      <w:r>
        <w:t xml:space="preserve">Sobre este documento</w:t>
      </w:r>
    </w:p>
    <w:p>
      <w:pPr>
        <w:spacing w:after="150"/>
      </w:pPr>
      <w:r>
        <w:t xml:space="preserve">Os riscos abaixo foram identificados considerando a natureza do projeto (TCC desenvolvido por um único integrante, com prazo acadêmico definido) e o histórico já observado durante o desenvolvimento (como o problema de compatibilidade com o Python 3.14, tratado no item R04). O nível de risco foi estimado qualitativamente a partir da combinação entre probabilidade e impacto.</w:t>
      </w:r>
    </w:p>
    <w:p>
      <w:pPr>
        <w:spacing w:after="300"/>
      </w:pPr>
      <w:r>
        <w:rPr>
          <w:b/>
          <w:bCs/>
        </w:rPr>
        <w:t xml:space="preserve">Legenda de nível:  </w:t>
      </w:r>
      <w:r>
        <w:rPr>
          <w:color w:val="000000"/>
          <w:shd w:fill="C6EFCE" w:val="clear"/>
        </w:rPr>
        <w:t xml:space="preserve">  Baixo  </w:t>
      </w:r>
      <w:r>
        <w:t xml:space="preserve">   </w:t>
      </w:r>
      <w:r>
        <w:rPr>
          <w:color w:val="000000"/>
          <w:shd w:fill="FFEB9C" w:val="clear"/>
        </w:rPr>
        <w:t xml:space="preserve">  Médio  </w:t>
      </w:r>
      <w:r>
        <w:t xml:space="preserve">   </w:t>
      </w:r>
      <w:r>
        <w:rPr>
          <w:color w:val="000000"/>
          <w:shd w:fill="FFC7CE" w:val="clear"/>
        </w:rPr>
        <w:t xml:space="preserve">  Alto  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3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0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5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Estratégia de Mitigação</w:t>
            </w:r>
          </w:p>
        </w:tc>
        <w:tc>
          <w:tcPr>
            <w:tcW w:type="dxa" w:w="15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Atraso no cronograma por acúmulo de atividades acadêmicas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Prazo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900"/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Desenvolvimento em etapas incrementais e testáveis (já adotado), com folga antes da entrega final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Mudança de escopo durante o desenvolvimento (scope creep)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Escopo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900"/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Escopo formalizado em documento; novas funcionalidades avaliadas e priorizadas antes de implementar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/ Orientador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Indisponibilidade do único desenvolvedor (bus factor)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Recursos Humanos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900"/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Código e decisões técnicas documentados (README, comentários, diagramas)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Incompatibilidade entre versões de dependências (Python/Django)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900"/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Versões fixadas em requirements.txt; já ocorreu uma vez (Python 3.14) e foi corrigido rapidamente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Perda de dados por ausência de backup do banco local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900"/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periódico do arquivo db.sqlite3 e versionamento do código-fonte em Git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Exposição de dados sensíveis (SECRET_KEY, DEBUG ativo)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900"/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Mover SECRET_KEY para variável de ambiente e desativar DEBUG antes de qualquer uso fora do ambiente local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 cobertura de testes com usuários reais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Qualidade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900"/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Suíte de testes automatizados já implementada; testes manuais guiados com colegas antes da entrega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Problemas de instalação no ambiente da banca avaliadora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900"/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 detalhado com passo a passo; testar a instalação em outra máquina antes da apresentação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R09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Indisponibilidade de rede/internet durante a apresentação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900"/>
            <w:shd w:fill="FFEB9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roda 100% localmente, sem depender de internet para a demonstração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Dependência de bibliotecas de terceiros descontinuadas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Baixa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900"/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Uso de bibliotecas consolidadas e amplamente mantidas (Django, Bootstrap), poucas dependências externas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Autor do projeto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2026-10-07T21:29:09.959Z</dcterms:created>
  <dcterms:modified xsi:type="dcterms:W3CDTF">2026-10-07T21:29:09.959Z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