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星河智善生活物业报告更新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每日考试题库</w:t>
      </w:r>
    </w:p>
    <w:p>
      <w:pPr>
        <w:spacing w:after="240"/>
        <w:jc w:val="center"/>
      </w:pPr>
      <w:r>
        <w:rPr>
          <w:rFonts w:ascii="微软雅黑" w:hAnsi="微软雅黑" w:eastAsia="微软雅黑"/>
          <w:color w:val="595959"/>
          <w:sz w:val="24"/>
        </w:rPr>
        <w:t>（经理级及以上人员  |  向领导汇报用）</w:t>
      </w:r>
    </w:p>
    <w:p/>
    <w:p>
      <w:pPr>
        <w:spacing w:after="240"/>
        <w:jc w:val="center"/>
      </w:pPr>
      <w:r>
        <w:rPr>
          <w:rFonts w:ascii="微软雅黑" w:hAnsi="微软雅黑" w:eastAsia="微软雅黑"/>
          <w:color w:val="595959"/>
          <w:sz w:val="24"/>
        </w:rPr>
        <w:t>考试时间：2026年6月16日 — 6月30日（共11个工作日）</w:t>
      </w:r>
    </w:p>
    <w:p>
      <w:pPr>
        <w:spacing w:after="240"/>
        <w:jc w:val="center"/>
      </w:pPr>
      <w:r>
        <w:rPr>
          <w:rFonts w:ascii="微软雅黑" w:hAnsi="微软雅黑" w:eastAsia="微软雅黑"/>
          <w:color w:val="595959"/>
          <w:sz w:val="24"/>
        </w:rPr>
        <w:t>每天5个知识点 · 每个知识点5个分点 · 5道选择题</w:t>
      </w:r>
    </w:p>
    <w:p/>
    <w:p/>
    <w:p>
      <w:pPr>
        <w:spacing w:after="40"/>
      </w:pPr>
      <w:r>
        <w:rPr>
          <w:rFonts w:ascii="微软雅黑" w:hAnsi="微软雅黑" w:eastAsia="微软雅黑"/>
          <w:sz w:val="22"/>
        </w:rPr>
        <w:t>编制说明：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本题库依据《物业报告更新（0115）》编制，覆盖星河内部资源盘点、住宅/产商/增值/科技四大板块十五五规划及汇总目标。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每个知识点用5个具体分点讲清核心数据和关键结论，知识点与选择题一一对应。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共11个工作日，每天5个知识点+5道选择题，先学后考。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适用对象：经理级及以上管理人员，用于向领导汇报前的学习与考核。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第1天（6月16日 星期二）</w:t>
      </w:r>
    </w:p>
    <w:p>
      <w:pPr>
        <w:spacing w:after="80"/>
      </w:pPr>
      <w:r>
        <w:rPr>
          <w:rFonts w:ascii="微软雅黑" w:hAnsi="微软雅黑" w:eastAsia="微软雅黑"/>
          <w:color w:val="2E75B6"/>
          <w:sz w:val="24"/>
        </w:rPr>
        <w:t>主题：星河内部资源盘点与十五五战略定位</w:t>
      </w:r>
    </w:p>
    <w:p>
      <w:pPr>
        <w:spacing w:after="120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【知识点1】智善生活当前管理规模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在管项目163个（不含FM专项），总管理面积2987万平方米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内部项目118个，面积2524万平方米；外部项目45个，面积463万平方米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星盛商业在管项目31个，管理面积226万平方米（可租建面179万平方米+停车场47万平方米）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产业集团管理项目33个，总管理面积243万平方米，可出租面积180万平方米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酒店公寓管理房间数5824间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【知识点2】十五五战略定位：对内强支撑、对外稳发展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对内：配合地产、产业、商业提供好服务，在存量上稳支撑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对外：聚焦核心能力走专业赛道，做好生意，在增量上做专业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双轮驱动：对内做好服务支撑主业，对外聚焦核心能力市场化发展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目标：转型成为区域型中等规模物企专业化的标杆示范企业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本次报告更新核心指标：10.29亿营收、1.12亿经营利润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【知识点3】四个维度的战略目标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品质目标：品质口碑行业领先，满意度85分以上；神访达行业均值80分+；正面评价达行业均值83分+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财务目标：年营业收入突破10.29亿元，经营利润约1.12亿元，净利润率9.5%，管理费用率6.5%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市场目标：湾区实力领先，华东根基稳固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专业目标：物业服务标准体系升级完备，形成差异化分类分级服务产品线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打造三类标杆：标准化服务标杆、特色性服务标杆、先进性创新标杆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【知识点4】智善生活十五五总体财务预测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2030年营业收入目标10.29亿元，同比2026年增长17%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2030年营业利润（税前）目标1.12亿元，同比2026年增长10%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收入逐年增长：8.82亿→8.94亿→9.25亿→9.74亿→10.29亿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利润逐年变化：1.02亿→1.09亿→1.08亿→1.10亿→1.12亿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内外部收入占比：内部65%/外部35%；内外部利润占比：内部75%/外部25%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【知识点5】星河集团整体管理规模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智善生活（物业）：163个项目，2987万平方米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星盛商业（商业）：31个项目，226万平方米（含自持16个、整租5个、轻资产10个）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产业集团（产业）：33个项目，243万平方米，5824间酒店公寓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三大板块合计在管面积约3456万平方米，形成住宅+商业+产业协同格局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外拓项目占比：智善生活外拓463万方（占15.5%），星盛整租34万方，产业12.4万方</w:t>
      </w:r>
    </w:p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C0392B"/>
          <w:sz w:val="24"/>
        </w:rPr>
        <w:t>【选择题】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智善生活当前在管项目总数和总管理面积分别是多少？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163个项目，2987万平方米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118个项目，2524万平方米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31个项目，226万平方米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33个项目，243万平方米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十五五战略定位中，对内和对外的核心分别是什么？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对内做大规模，对外做高利润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对内强支撑（好服务），对外稳发展（好生意）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对内聚焦科技，对外聚焦住宅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对内降低成本，对外提高收费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至2030年末，营业收入和经营利润目标分别是多少？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11.4亿元，1.35亿元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10.29亿元，1.12亿元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8.82亿元，1.02亿元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9.55亿元，1.89亿元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管理费用率和净利润率目标分别控制在什么水平？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管理费率6%，净利率10%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管理费率6.5%，净利率9.5%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管理费率7%，净利率8%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管理费率5%，净利率12%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星河集团三大板块中，哪个板块管理规模最大？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星盛商业226万平方米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产业集团243万平方米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智善生活2987万平方米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酒店公寓5824间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答案：C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第2天（6月17日 星期三）</w:t>
      </w:r>
    </w:p>
    <w:p>
      <w:pPr>
        <w:spacing w:after="80"/>
      </w:pPr>
      <w:r>
        <w:rPr>
          <w:rFonts w:ascii="微软雅黑" w:hAnsi="微软雅黑" w:eastAsia="微软雅黑"/>
          <w:color w:val="2E75B6"/>
          <w:sz w:val="24"/>
        </w:rPr>
        <w:t>主题：住宅板块十五五规划详解</w:t>
      </w:r>
    </w:p>
    <w:p>
      <w:pPr>
        <w:spacing w:after="120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【知识点1】住宅板块战略定位与目标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定位：以支撑地产、精益管理、夯实品质、稳健拓展作为主要方向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作用：为集团提供稳定现金流和利润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十五五期间住宅拓展目标：335万平方米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持续优化高端及改善项目的服务体系，为地产销售助力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保障平稳交付，做好项目全周期服务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【知识点2】住宅板块2030年规模与经营目标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在管总面积目标：3241万平方米，年平均增长率约5%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收入目标：7.7亿元（住宅物业7.1亿元+地配0.7亿元）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利润目标：1.6亿元，利润率22%，平均增长率5.45%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收入逐年增长：6.52亿→6.78亿→7.03亿→7.34亿→7.69亿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利润逐年增长：1.45亿→1.51亿→1.53亿→1.57亿→1.62亿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【知识点3】住宅外拓逐年目标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十五五期间外拓住宅总量：335万平方米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2026年新增：30万平方米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2027年新增：50万平方米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2028年新增：70万平方米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2029年新增：85万平方米；2030年新增：100万平方米（逐年递增）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【知识点4】住宅板块核心策略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深化住宅服务标准，持续完善服务体系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明确项目分级定档，不同档次项目配置差异化服务标准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打造标杆示范项目，保障好服务落地执行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通过透明化运营提升业主信任度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加大选择性拓展，增加区域浓度密度提升整体盈利水平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【知识点5】住宅板块收入构成与贡献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住宅总收入7.7亿元：住宅物业7.1亿元+地配0.7亿元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住宅板块利润率22%，是公司最稳定的利润来源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主营物业费收入从5.78亿增长至7.36亿（增长27%）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地配业务从1.87亿降至0.6亿，体现主动结构调整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住宅毛利1.61亿元，毛利率23%</w:t>
      </w:r>
    </w:p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C0392B"/>
          <w:sz w:val="24"/>
        </w:rPr>
        <w:t>【选择题】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住宅板块十五五期间主要方向是什么？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快速扩张规模抢占市场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支撑地产、精益管理、夯实品质、稳健拓展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全面转向非住业务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降低服务标准以控制成本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住宅板块2030年收入和利润目标分别是多少？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7.03亿元，1.53亿元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7.69亿元，1.62亿元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7.34亿元，1.57亿元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7.7亿元，1.6亿元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答案：D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十五五住宅外拓总量和2030年新增面积分别是多少？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300万平方米，85万平方米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335万平方米，100万平方米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400万平方米，120万平方米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335万平方米，70万平方米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住宅板块核心策略不包括以下哪项？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深化服务标准、完善服务体系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项目分级定档、打造标杆示范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全面降价抢占市场份额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选择性拓展、增加区域密度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答案：C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住宅板块2030年总利润和毛利率分别是多少？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1.45亿元，20%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1.53亿元，21%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1.62亿元，22%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1.6亿元，22%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答案：D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第3天（6月18日 星期四）</w:t>
      </w:r>
    </w:p>
    <w:p>
      <w:pPr>
        <w:spacing w:after="80"/>
      </w:pPr>
      <w:r>
        <w:rPr>
          <w:rFonts w:ascii="微软雅黑" w:hAnsi="微软雅黑" w:eastAsia="微软雅黑"/>
          <w:color w:val="2E75B6"/>
          <w:sz w:val="24"/>
        </w:rPr>
        <w:t>主题：产商板块与外拓规划详解</w:t>
      </w:r>
    </w:p>
    <w:p>
      <w:pPr>
        <w:spacing w:after="120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【知识点1】产商板块战略定位与目标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核心目标：确保星河自持资产高效高质高水准运营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锻造设施设备运维能力，保障资产安全及延寿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聚焦高价值赛道，外部拓展实现突破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十五五期间非住拓展目标：78万平方米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核心策略：AI技术驱动效率提升；流程再造落实标准；组织扁平推动人效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【知识点2】产商营收规模预测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外部存量业务：2026年1.20亿元→2030年1.41亿元，稳步增长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外部增量业务：2026年1476万元→2030年2993万元，翻倍增长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内部自持业务：2026年1680万元→2030年2154万元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2030年产商板块总收入约1.9亿元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存量自持按产业出租率预估，外拓按五年复合增长约5%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【知识点3】大湾区外拓梯次布局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第一梯队（深耕要地）：深圳——大本营，聚焦移动通讯、研发总部赛道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第二梯队（拓展高地）：广州、东莞——重点拓展学校、高端制造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第三梯队（辐射洼地）：珠海、中山、江门、佛山——同心圆拓展（10km范围内）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突破孤盘城市，以住宅为主、国资产业园为辅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大湾区整体目标：深耕湾区，提升密度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【知识点4】华东地区外拓布局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第一梯队：常州——深耕医疗医美特色赛道，已拓展星空医疗、生命科技港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集中在常州西太湖区域和常州新北区域两个片区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第二梯队：无锡、南京、苏州——突破优质住宅项目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产业园聚焦1个行政区+3类园区（生物医药/高端制造/总部型产业园）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南京苏州住宅单价较高，业主缴费习惯良好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【知识点5】非住业态整体拓展策略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主力型业态：写字楼+产业园，作为重点发展方向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成长性业态：物流园+公建，大力突破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主力赛道：移动通讯+研发总部+医美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机会赛道：学校+住宅+生产制造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商企每年新增拓展面积：3万→10万→15万→20万→30万平方米</w:t>
      </w:r>
    </w:p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C0392B"/>
          <w:sz w:val="24"/>
        </w:rPr>
        <w:t>【选择题】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产商板块十五五非住拓展目标是多少？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100万平方米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78万平方米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50万平方米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120万平方米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大湾区第一梯队是哪个城市？聚焦什么赛道？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广州——学校和高端制造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深圳——移动通讯和研发总部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东莞——高端制造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珠海——医疗医美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华东第一梯队常州深耕什么特色赛道？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移动通讯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研发总部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医疗医美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高端制造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答案：C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非住主力型和成长性业态分别是什么？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主力型：写字楼+产业园；成长性：物流园+公建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主力型：学校+住宅；成长性：医美+通讯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主力型：物流园+公建；成长性：写字楼+产业园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主力型：住宅+商业；成长性：学校+医院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商企新增拓展面积到2030年达到多少？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15万平方米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20万平方米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25万平方米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30万平方米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答案：D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第4天（6月19日 星期五）</w:t>
      </w:r>
    </w:p>
    <w:p>
      <w:pPr>
        <w:spacing w:after="80"/>
      </w:pPr>
      <w:r>
        <w:rPr>
          <w:rFonts w:ascii="微软雅黑" w:hAnsi="微软雅黑" w:eastAsia="微软雅黑"/>
          <w:color w:val="2E75B6"/>
          <w:sz w:val="24"/>
        </w:rPr>
        <w:t>主题：增值板块与科技转型详解</w:t>
      </w:r>
    </w:p>
    <w:p>
      <w:pPr>
        <w:spacing w:after="120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【知识点1】增值板块双引擎策略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以星河内部存量资产去化为核心，附以客户延伸服务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第一引擎：存量资产去化（全民营销、尾盘、车位等）——夯实营销策划基础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第二引擎：延伸服务（房屋经纪、美居、到家、企业服务等）——挖掘需求增强黏性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核心业务做精做强，成长业务做成做好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从规模驱动转为价值深耕，从单品供给升级为场景化服务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【知识点2】十五五增值板块目标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增值板块目标：收入0.6亿元，利润895万元，毛利率16%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全民营销十五五累计：房产1250套（含车位换算），招商3.8万平方米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全民营销逐年：300套→270套→250套→230套→200套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延伸服务收入：4785万→5024万→5243万→5601万→6009万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延伸服务毛利率：17%→18%→18%→17%→16%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【知识点3】四有原则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有钱赚：算得来账，分摊中后台管理成本后仍有足够利润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有支付能力：对方主营业务好、现金流有保障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有支付意愿：甲方关系好、预算制非审批制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有现金流：坚决不垫资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四有原则是评估外部业务的核心标准，确保每笔业务都有质量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【知识点4】科技转型核心定位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十五五期间停止传统智能化工程业务新拓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集中于现有项目收尾及维保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业务重点转向内部支撑，构建数智平台+智慧工程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定位转向：从对外承接工程转为对内科技赋能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通过全面梳理资产信息摸清家底，为成本控制与设备延寿提供数据支撑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【知识点5】科技转型四大核心动作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盘资产：数据标准化定义、建立统一数据词典，静网（摄像头）/动网（机器狗、扫地机器人）实现数据资产线上化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系统管：Galaxy AIoT平台大集成，SOW/SLA/SOP/KPI管理工具，硬件+软件实现资产全生命周期管理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降成本：依托博锐尚格、邻元科技、龙湖等在机电、能耗、电梯上降低成本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优化延寿：理论+实践双算法+智能体PDCA优化验证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四大动作形成闭环：盘资产→系统管→降成本→优化延寿</w:t>
      </w:r>
    </w:p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C0392B"/>
          <w:sz w:val="24"/>
        </w:rPr>
        <w:t>【选择题】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增值板块第一和第二引擎分别是什么？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第一引擎：延伸服务；第二引擎：存量资产去化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第一引擎：存量资产去化；第二引擎：延伸服务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第一引擎：全民营销；第二引擎：科技转型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第一引擎：房屋经纪；第二引擎：美居业务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四有原则不包括以下哪项？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有钱赚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有支付能力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有品牌影响力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有现金流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答案：C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科技转型核心定位转向是什么？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大力拓展传统智能化工程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停止新拓，转向内部支撑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全面外包科技业务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成立独立科技子公司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四大核心动作中盘资产的主要目的是？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提高系统运行速度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摸清家底，为成本控制与设备延寿提供数据支撑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开发新软件产品对外销售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扩大IT团队规模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增值板块收入、利润和毛利率目标分别是多少？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1亿元，984万元，12%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0.6亿元，895万元，16%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0.8亿元，1000万元，18%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0.5亿元，785万元，14%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第5天（6月22日 星期一）</w:t>
      </w:r>
    </w:p>
    <w:p>
      <w:pPr>
        <w:spacing w:after="80"/>
      </w:pPr>
      <w:r>
        <w:rPr>
          <w:rFonts w:ascii="微软雅黑" w:hAnsi="微软雅黑" w:eastAsia="微软雅黑"/>
          <w:color w:val="2E75B6"/>
          <w:sz w:val="24"/>
        </w:rPr>
        <w:t>主题：十五五汇总目标与财务预测</w:t>
      </w:r>
    </w:p>
    <w:p>
      <w:pPr>
        <w:spacing w:after="120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【知识点1】十五五合计核心目标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2030年在管面积达3684万平方米，住宅3241万（72%）+非住443万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营业收入10.29亿元，毛利润1.84亿元，经营利润1.12亿元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未来5年增长854万平方米：内部交付440万+外拓住宅335万+外拓非住78万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净利率维持9.5%，管理费用率6.5%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2030年收入同比2026年增长17%，利润同比增长10%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【知识点2】营业收入结构分析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主营物业服务：从5.78亿增长至7.36亿（增长27%）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商企IFM：从1.32亿增长至1.7亿（增长29%）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地配及其他：从1.87亿降至0.6亿（主动收缩）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多种经营服务：从0.58亿增至0.6亿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收入结构从依赖地配转向强化主营和商企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【知识点3】分业态收入与利润分析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住宅收入7.1亿元，非住0.2亿元，车房经纪0.5亿元，地配0.5亿元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住宅毛利率23%，非住毛利率40%，车房经纪毛利率18%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主营物业服务毛利润1.65亿元（占84%），商企0.1亿元（占16%）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住宅利润1.61亿元，是绝对利润主力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非住毛利率最高（40%），但规模较小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【知识点4】业态结构与收入结构占比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业态结构：住宅3241万平方米占72%，非住443万平方米约12%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收入结构：主营物业费71%，商企17%，多种经营6%，地配6%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内外部收入占比：内部65%，外部35%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内外部利润占比：内部75%，外部25%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外部收入占比从2026年27%提升至2030年35%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【知识点5】十五五增长来源与战略重点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规模增长854万平方米：内部交付440万（51.5%）、外拓住宅335万（39.2%）、外拓非住78万（9.1%）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利润增长依靠：主营物业费收入提升（+27%）、商企IFM拓展（+29%）、成本管控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收入结构优化：增加车位房产经纪等高毛利业务，降低低毛利地配业务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外部收入占比提升，市场化能力逐步增强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战略核心：对内稳住宅基本盘，对外拓展非住高价值赛道</w:t>
      </w:r>
    </w:p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C0392B"/>
          <w:sz w:val="24"/>
        </w:rPr>
        <w:t>【选择题】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十五五合计目标中，2030年在管面积、营收和经营利润分别是多少？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3860万㎡，11.4亿，1.35亿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3684万㎡，10.29亿，1.12亿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3241万㎡，7.7亿，1.6亿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2987万㎡，8.8亿，1.0亿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未来5年增长854万平方米的三大来源？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内部交付440万+外拓住宅335万+外拓非住78万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内部交付400万+外拓住宅400万+外拓非住54万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内部交付500万+外拓住宅300万+外拓非住54万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内部交付350万+外拓住宅400万+外拓非住104万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主营物业和商企收入从2025到2030年增长幅度？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27%，29%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20%，25%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30%，35%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25%，20%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内外部收入和利润占比分别是多少？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收入内部65%/外部35%；利润内部75%/外部25%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收入内部70%/外部30%；利润内部80%/外部20%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收入内部60%/外部40%；利润内部70%/外部30%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收入内部75%/外部25%；利润内部65%/外部35%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哪个业态毛利率最高？哪个是利润主力？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非住毛利率40%最高，住宅是利润主力1.61亿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住宅毛利率23%最高，非住是利润主力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商企毛利率最高，住宅是利润主力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车房经纪毛利率最高，地配是利润主力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第6天（6月23日 星期二）</w:t>
      </w:r>
    </w:p>
    <w:p>
      <w:pPr>
        <w:spacing w:after="80"/>
      </w:pPr>
      <w:r>
        <w:rPr>
          <w:rFonts w:ascii="微软雅黑" w:hAnsi="微软雅黑" w:eastAsia="微软雅黑"/>
          <w:color w:val="2E75B6"/>
          <w:sz w:val="24"/>
        </w:rPr>
        <w:t>主题：规模增长路径与在管面积分解</w:t>
      </w:r>
    </w:p>
    <w:p>
      <w:pPr>
        <w:spacing w:after="120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【知识点1】在管面积增长总览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2030年在管面积目标：3684万平方米（住宅3241万+非住443万）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2025年基数：2987万平方米（截至12月），五年增长697万平方米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年度变化：2987→增加进场→3684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住宅从2505万增至3241万，增长736万平方米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非住从482万调整为443万，因退出低质低效项目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【知识点2】住宅在管面积逐年分解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2026年：2622万平方米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2027年：2763万平方米（+141万）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2028年：2916万平方米（+153万）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2029年：3075万平方米（+159万）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2030年：3241万平方米（+166万），年均增长约5%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【知识点3】854万平方米增长来源详细拆解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内部地产交付：440万平方米（占51.5%），主要来自星河地产项目交付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外拓住宅：335万平方米（占39.2%），大湾区+华东梯次拓展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外拓非住：78万平方米（占9.1%），写字楼+产业园+物流园+公建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内部交付仍是规模增长的主要来源（过半）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外拓合计413万平方米（48.5%），市场化拓展能力逐步增强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【知识点4】非住在管面积变化分析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截至12月非住在管面积：482万平方米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十五五期间拓展目标78万平方米，同时退出低效项目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预计净增后2030年非住面积约443万平方米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退出低质低效项目是行业趋势，智善也在执行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非住占比从当前约14%调整为约12%，聚焦高质量项目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【知识点5】在管面积增长的战略意义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规模增长854万平方米带来物业费收入增量约1.6亿元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规模增长带动主营收入增长27%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密度提升有助于降低单位管理成本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区域浓度提高有利于品牌效应和二次挖掘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为增值服务提供更大的客户基数</w:t>
      </w:r>
    </w:p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C0392B"/>
          <w:sz w:val="24"/>
        </w:rPr>
        <w:t>【选择题】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2030年在管面积目标中住宅和非住分别是多少？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住宅3241万，非住443万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住宅2987万，非住482万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住宅3000万，非住500万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住宅3500万，非住400万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住宅在管面积2026年到2030年的变化趋势是？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逐年下降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逐年增长，年均约5%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先升后降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基本保持不变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854万平方米增长中内部交付和外拓分别占比多少？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内部51.5%，外拓48.5%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内部60%，外拓40%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内部40%，外拓60%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内部70%，外拓30%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非住在管面积从482万调整到443万的原因是什么？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非住业务全部停止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退出低质低效项目，聚焦高质量项目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甲方全部解除合同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政策限制非住发展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规模增长对主营收入增长贡献约多少？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0.5亿元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1.6亿元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2.5亿元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3亿元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第7天（6月24日 星期三）</w:t>
      </w:r>
    </w:p>
    <w:p>
      <w:pPr>
        <w:spacing w:after="80"/>
      </w:pPr>
      <w:r>
        <w:rPr>
          <w:rFonts w:ascii="微软雅黑" w:hAnsi="微软雅黑" w:eastAsia="微软雅黑"/>
          <w:color w:val="2E75B6"/>
          <w:sz w:val="24"/>
        </w:rPr>
        <w:t>主题：营业收入结构与增长动力深度分析</w:t>
      </w:r>
    </w:p>
    <w:p>
      <w:pPr>
        <w:spacing w:after="120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【知识点1】营业收入10.29亿元构成详解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主营物业服务费收入：7.36亿元（占比71.5%）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商企IFM收入：1.7亿元（占比16.5%）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多种经营服务收入：0.6亿元（占比5.8%）——含社区及创新0.1亿+车房经纪0.5亿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地配及其他收入：0.6亿元（占比5.8%）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合计10.29亿元，其中外部收入占35%，内部收入占65%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【知识点2】主营物业服务费增长路径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2025年基数：5.78亿元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十五五期间通过内部交付+外拓项目实现增长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增量来自：新交付项目物业费+外拓项目物业费+原有项目物业费自然增长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2030年达到7.36亿元，五年增长1.58亿元（增长27%）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主营物业费仍是收入的最核心来源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【知识点3】商企IFM发展策略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2025年基数：1.32亿元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聚焦B端专业服务赛道，发展IFM综合设施管理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重点突破写字楼、产业园等商企场景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2030年达到1.7亿元，五年增长0.38亿元（增长29%）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商企是增长最快的板块，增速超过主营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【知识点4】多种经营服务结构调整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车房经纪收入0.5亿元（占多种经营83%），是增值核心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社区及创新收入0.1亿元（占17%）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地配业务从1.34亿主动压缩至0.5亿元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车位、房产经纪成为新的收入增长点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结构调整方向：从低毛利地配转向高毛利高频的车房经纪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【知识点5】内外部收入占比变化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2026年外部收入占比约27%，内部73%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2030年外部收入占比提升至35%，内部65%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外部收入含外部拓展项目收益和外部客户订单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外部收入五年提升8个百分点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市场化独立发展能力逐步增强</w:t>
      </w:r>
    </w:p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C0392B"/>
          <w:sz w:val="24"/>
        </w:rPr>
        <w:t>【选择题】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10.29亿营收中占最大比例的是哪项？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主营物业服务7.36亿（71.5%）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商企IFM 1.7亿（16.5%）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多种经营0.6亿（5.8%）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地配0.6亿（5.8%）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主营业务收入从2025到2030年增长多少？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从5.78亿增至7.36亿，增长27%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从5.78亿增至6.5亿，增长12%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从6亿增至8亿，增长33%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从5亿增至7亿，增长40%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增长最快的业务板块是哪个？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主营物业（+27%）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商企IFM（+29%）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多种经营（+3%）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地配（-68%）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多种经营服务中心车房经纪占多少？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50%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67%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83%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100%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答案：C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外部收入占比从2026年到2030年的变化是？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从27%提升至35%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从35%降至27%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保持不变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从20%提升至40%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第8天（6月25日 星期四）</w:t>
      </w:r>
    </w:p>
    <w:p>
      <w:pPr>
        <w:spacing w:after="80"/>
      </w:pPr>
      <w:r>
        <w:rPr>
          <w:rFonts w:ascii="微软雅黑" w:hAnsi="微软雅黑" w:eastAsia="微软雅黑"/>
          <w:color w:val="2E75B6"/>
          <w:sz w:val="24"/>
        </w:rPr>
        <w:t>主题：利润贡献与成本管控深度分析</w:t>
      </w:r>
    </w:p>
    <w:p>
      <w:pPr>
        <w:spacing w:after="120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【知识点1】毛利润1.84亿元分业务分析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主营物业服务毛利润：1.65亿元（占比84%），毛利率24%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商企IFM毛利润：0.1亿元（占比16%），毛利率7%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地配及其他毛利润：0.01亿元，毛利率1%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多种经营服务毛利润：0.1亿元，毛利率16%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住宅板块毛利润1.61亿元，占主营利润的绝大部分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【知识点2】各业务板块毛利率对比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住宅毛利率23%——最稳定的利润来源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非住毛利率40%——毛利率最高，但规模小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车房经纪毛利率18%——中等水平，持续增长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商企IFM毛利率7%——偏低，但规模在扩大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地配毛利率仅1%——这是主动压缩地配的核心原因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【知识点3】经营利润1.12亿增长路径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2026年经营利润：1.02亿元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2027年：1.09亿元，同比增长7%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2028年：1.08亿元，同比下降1%（受成本上涨影响）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2029年：1.10亿元，同比增长2%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2030年：1.12亿元，同比增长2%，五年累计增长10%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【知识点4】净利润率与行业对标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智善净利率目标：9.5%左右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行业净利率水平：4%~9%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智善净利率高于行业平均水平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考虑逐年增长的用工成本，净利率呈下降趋势但仍保持较好水平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管理费用率控制在6.5%，体现成本管控能力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【知识点5】成本管控主要措施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通过两张表定岗定编优化人员配置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推行项目片区管理，实现管理人员共享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区域职能合并及总部精简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通过集采包干降低维保维修成本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加大科技覆盖和组织扁平化提升效能</w:t>
      </w:r>
    </w:p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C0392B"/>
          <w:sz w:val="24"/>
        </w:rPr>
        <w:t>【选择题】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毛利润1.84亿中占比和毛利率最高的分别是？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占比最高是主营84%，毛利率最高是非住40%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占比最高是非住，毛利率最高是住宅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占比最高是商企，毛利率最高是地配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占比最高是多种经营，毛利率最高是商企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地配业务毛利率仅1%，对策略的影响是？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加大地配投入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主动压缩地配，转向高毛利业务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保持不变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提高地配收费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经营利润从2026年到2030年累计增长多少？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10%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15%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20%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智善净利率目标9.5%，行业净利率水平是多少？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2%~5%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4%~9%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8%~12%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10%~15%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以下哪项不是成本管控的主要措施？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两张表定岗定编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推行片区管理和区域合并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全员降薪30%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集采包干和科技覆盖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答案：C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第9天（6月26日 星期五）</w:t>
      </w:r>
    </w:p>
    <w:p>
      <w:pPr>
        <w:spacing w:after="80"/>
      </w:pPr>
      <w:r>
        <w:rPr>
          <w:rFonts w:ascii="微软雅黑" w:hAnsi="微软雅黑" w:eastAsia="微软雅黑"/>
          <w:color w:val="2E75B6"/>
          <w:sz w:val="24"/>
        </w:rPr>
        <w:t>主题：大湾区拓展战略深度解析</w:t>
      </w:r>
    </w:p>
    <w:p>
      <w:pPr>
        <w:spacing w:after="120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【知识点1】深圳第一梯队深耕策略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深圳作为大本营和核心优势城市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依托高密度、好口碑等优势聚焦深耕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大力推动规模拓展和密度提升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深耕赛道：移动通讯+研发总部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目标：在深圳形成绝对领先的市场地位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【知识点2】广州东莞第二梯队拓展策略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广州、东莞作为当前重点城市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依托过往品质口碑优势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立足在管项目向周边渗透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重点拓展学校赛道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重点拓展高端制造赛道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【知识点3】珠中江佛第三梯队同心圆策略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珠海、中山、江门、佛山作为机会型市场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以现有项目为中心，周围10公里范围内拓展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同心圆拓展方式，稳扎稳打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突破孤盘城市困境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以住宅为主、国资产业园为辅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【知识点4】大湾区非住赛道选择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主力赛道：移动通讯——凭借现有项目口碑持续渗透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主力赛道：研发总部——契合深圳高科技产业特点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机会赛道：学校——广州东莞重点方向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机会赛道：高端制造——产业园区核心业态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各赛道按城市特点差异化布局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【知识点5】大湾区拓展的战略意义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大湾区是智善的大本营和核心利润区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提升管理密度有助于降低单位管理成本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高密度区域可产生品牌溢出效应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深圳移动通讯赛道已有成熟经验和案例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大湾区成功模式可复制到华东地区</w:t>
      </w:r>
    </w:p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C0392B"/>
          <w:sz w:val="24"/>
        </w:rPr>
        <w:t>【选择题】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深圳第一梯队深耕的核心赛道是什么？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学校和高端制造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移动通讯和研发总部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医疗医美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物流园和公建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广州东莞第二梯队重点拓展什么赛道？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移动通讯和研发总部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学校和高端制造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医疗医美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产业园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第三梯队同心圆拓展的范围是多少？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5公里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10公里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15公里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20公里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大湾区非住主力赛道是哪两个？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学校和高端制造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移动通讯和研发总部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物流园和公建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医疗医美和产业园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提升大湾区管理密度的意义不包括以下哪项？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降低单位管理成本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产生品牌溢出效应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增加跨区域管理复杂度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形成可复制的成功模式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答案：C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第10天（6月29日 星期一）</w:t>
      </w:r>
    </w:p>
    <w:p>
      <w:pPr>
        <w:spacing w:after="80"/>
      </w:pPr>
      <w:r>
        <w:rPr>
          <w:rFonts w:ascii="微软雅黑" w:hAnsi="微软雅黑" w:eastAsia="微软雅黑"/>
          <w:color w:val="2E75B6"/>
          <w:sz w:val="24"/>
        </w:rPr>
        <w:t>主题：华东拓展战略与商企发展深度解析</w:t>
      </w:r>
    </w:p>
    <w:p>
      <w:pPr>
        <w:spacing w:after="120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【知识点1】常州第一梯队医疗医美赛道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常州坚持深耕医疗医美特色赛道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已拓展项目：星空医疗、生命科技港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集中在常州西太湖区域（两湖创新区-澜月湾）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集中在常州新北区域（高铁新城-恒泰生命科技港）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打造区域类型标杆服务案例，形成片区化对外展示名片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【知识点2】无锡南京苏州第二梯队策略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聚焦突破优质住宅项目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南京苏州住宅项目单价较高，业主缴费习惯良好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产业园聚焦1个行政区+3类园区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3类园区：生物医药/高端制造/总部型产业园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锚定高潜力园区，分层突破，结合产业特点制定精准策略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【知识点3】商企每年新增拓展面积增长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2026年新增：3万平方米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2027年新增：10万平方米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2028年新增：15万平方米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2029年新增：20万平方米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2030年新增：30万平方米，五年增长10倍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【知识点4】非住业态赛道选择策略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主力型业态：写字楼+产业园——作为重点发展方向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成长性业态：物流园+公建——大力突破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主力赛道：移动通讯+研发总部+医美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机会赛道：学校+住宅+生产制造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不同城市差异化配置赛道优先级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【知识点5】华东拓展的战略意义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华东是智善的第二大战略区域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巩固华东根基是市场目标的重要组成部分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常州医疗医美赛道已形成差异化竞争优势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南京苏州住宅市场业主质量高、缴费习惯好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华东突破为全国化布局奠定基础</w:t>
      </w:r>
    </w:p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C0392B"/>
          <w:sz w:val="24"/>
        </w:rPr>
        <w:t>【选择题】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常州第一梯队深耕的特色赛道是什么？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移动通讯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研发总部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医疗医美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高端制造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答案：C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南京苏州第二梯队的核心策略是什么？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深耕产业园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突破优质住宅项目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发展移动通讯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拓展政府公建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商企每年新增拓展面积从2026年到2030年增长了多少倍？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5倍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8倍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10倍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12倍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答案：C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非住主力型业态和成长性业态分别是什么？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主力型：写字楼+产业园；成长性：物流园+公建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主力型：学校+住宅；成长性：医美+通讯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主力型：物流园+公建；成长性：写字楼+产业园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主力型：医疗+医美；成长性：移动通讯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华东地区在智善战略中的定位是什么？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次要区域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第二大战略区域，需要巩固根基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仅作机会型拓展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即将退出的市场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第11天（6月30日 星期二）</w:t>
      </w:r>
    </w:p>
    <w:p>
      <w:pPr>
        <w:spacing w:after="80"/>
      </w:pPr>
      <w:r>
        <w:rPr>
          <w:rFonts w:ascii="微软雅黑" w:hAnsi="微软雅黑" w:eastAsia="微软雅黑"/>
          <w:color w:val="2E75B6"/>
          <w:sz w:val="24"/>
        </w:rPr>
        <w:t>主题：科技转型与综合保障全景</w:t>
      </w:r>
    </w:p>
    <w:p>
      <w:pPr>
        <w:spacing w:after="120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【知识点1】Galaxy AIoT平台与数据底座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Galaxy AIoT平台是科技转型的核心平台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数据底座整合业主信息、设备数据、服务记录等多源数据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建立数据词典，对系统间数据进行格式统一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消除数据孤岛，实现数据打通、应用打通、业务打通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管理提效目标：元均创利从0.12逐年提升到0.17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【知识点2】信息化核心场景应用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电梯维保：部署监管系统监控4000+电梯，故障率&lt;5%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消防和监控：消控室合并+AI分析盒子，减少巡视人员40%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空调节能：智能算法优化，降低能耗10%-15%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AI客服：末端校验，提升服务及时性和满意度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各场景均设定了量化的降本增效目标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【知识点3】组织保障措施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每年招聘5名理工科研究生刷新人才结构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腾笼换鸟加速淘汰低绩效员工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职能中后台从195人压降到165人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持续推动组织结构扁平化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对标市场调整薪酬结构和激励机制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【知识点4】人才保障目标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经理级以上本科率&gt;75%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经理级以上90后占比&gt;50%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基层员工月均离职率&lt;=5%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基层员工满意度&gt;=80%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做好项目经理训练营和管家训练营，升级岗位刻度</w:t>
      </w:r>
    </w:p>
    <w:p>
      <w:pPr>
        <w:spacing w:after="40"/>
      </w:pPr>
    </w:p>
    <w:p>
      <w:pPr>
        <w:spacing w:after="40" w:line="400" w:lineRule="exact"/>
      </w:pPr>
      <w:r>
        <w:rPr>
          <w:rFonts w:ascii="微软雅黑" w:hAnsi="微软雅黑" w:eastAsia="微软雅黑"/>
          <w:b/>
          <w:color w:val="1F4E79"/>
          <w:sz w:val="22"/>
        </w:rPr>
        <w:t>【知识点5】成本保障WBS工作分解法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围绕算、定、优、控四个环节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采用WBS工作分解法，将各业务模块工作逐项列出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基于SOP分级差异完成标准工时全面测算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确定各工作频率，核算总工作时长</w:t>
      </w:r>
    </w:p>
    <w:p>
      <w:pPr>
        <w:spacing w:after="20"/>
        <w:ind w:left="283"/>
      </w:pPr>
      <w:r>
        <w:rPr>
          <w:rFonts w:ascii="微软雅黑" w:hAnsi="微软雅黑" w:eastAsia="微软雅黑"/>
          <w:sz w:val="22"/>
        </w:rPr>
        <w:t xml:space="preserve">  • 在在管项目全面推广一盘一定额成本造价</w:t>
      </w:r>
    </w:p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C0392B"/>
          <w:sz w:val="24"/>
        </w:rPr>
        <w:t>【选择题】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Galaxy AIoT平台的核心功能是什么？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开发软件对外销售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整合多源数据消除孤岛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管理员工考勤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制作财务报表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消控室合并+AI分析可减少多少巡视人员？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20%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30%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40%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50%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答案：C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职能中后台人员压降目标是多少？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从195人到165人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从200人到170人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从195人到150人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从180人到160人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人才保障中基层员工月均离职率目标是多少？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&lt;=3%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&lt;=5%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&lt;=8%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&lt;=10%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成本保障WBS工作分解法的核心目的是什么？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A. 减少员工数量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B. 落实一盘一定额成本造价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C. 提高服务质量</w:t>
      </w:r>
    </w:p>
    <w:p>
      <w:pPr>
        <w:spacing w:after="20"/>
        <w:ind w:left="567"/>
      </w:pPr>
      <w:r>
        <w:rPr>
          <w:rFonts w:ascii="微软雅黑" w:hAnsi="微软雅黑" w:eastAsia="微软雅黑"/>
          <w:sz w:val="22"/>
        </w:rPr>
        <w:t>D. 扩大管理规模</w:t>
      </w:r>
    </w:p>
    <w:p>
      <w:pPr>
        <w:spacing w:after="200"/>
      </w:pPr>
      <w:r>
        <w:rPr>
          <w:rFonts w:ascii="微软雅黑" w:hAnsi="微软雅黑" w:eastAsia="微软雅黑"/>
          <w:b/>
          <w:color w:val="C0392B"/>
          <w:sz w:val="22"/>
        </w:rPr>
        <w:t>答案：B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— 以上内容依据《物业报告更新（0115）》编制，数据截止2026年6月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