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8818A" w14:textId="77777777" w:rsidR="008055DE" w:rsidRDefault="00000000">
      <w:pPr>
        <w:pStyle w:val="Title"/>
      </w:pPr>
      <w:r>
        <w:t>[title]</w:t>
      </w:r>
    </w:p>
    <w:p w14:paraId="5D68818B" w14:textId="77777777" w:rsidR="008055DE" w:rsidRDefault="00000000">
      <w:pPr>
        <w:pStyle w:val="Author"/>
      </w:pPr>
      <w:r>
        <w:t>ANNE N.M.A. AUSEMS</w:t>
      </w:r>
      <w:r>
        <w:rPr>
          <w:vertAlign w:val="superscript"/>
        </w:rPr>
        <w:t>1</w:t>
      </w:r>
      <w:r>
        <w:t>, JENS-KJELD JENSEN</w:t>
      </w:r>
      <w:r>
        <w:rPr>
          <w:vertAlign w:val="superscript"/>
        </w:rPr>
        <w:t>2</w:t>
      </w:r>
    </w:p>
    <w:p w14:paraId="5D68818C" w14:textId="77777777" w:rsidR="008055DE" w:rsidRDefault="00000000">
      <w:pPr>
        <w:pStyle w:val="Address"/>
      </w:pPr>
      <w:r>
        <w:rPr>
          <w:vertAlign w:val="superscript"/>
        </w:rPr>
        <w:t>1</w:t>
      </w:r>
      <w:r>
        <w:t>Department of Ecoscience, Aarhus University, Denmark. (anneausems@ecos.au.dk)</w:t>
      </w:r>
      <w:r>
        <w:br/>
      </w:r>
      <w:r>
        <w:rPr>
          <w:vertAlign w:val="superscript"/>
        </w:rPr>
        <w:t>2</w:t>
      </w:r>
      <w:r>
        <w:t>Nólsoy, Faroe Islands</w:t>
      </w:r>
    </w:p>
    <w:p w14:paraId="5D68818D" w14:textId="77777777" w:rsidR="008055DE" w:rsidRDefault="00000000">
      <w:pPr>
        <w:pStyle w:val="Heading1"/>
      </w:pPr>
      <w:bookmarkStart w:id="0" w:name="abstract"/>
      <w:r>
        <w:t>ABSTRACT</w:t>
      </w:r>
    </w:p>
    <w:p w14:paraId="5D68818E" w14:textId="77777777" w:rsidR="008055DE" w:rsidRDefault="00000000">
      <w:pPr>
        <w:pStyle w:val="FirstParagraph"/>
      </w:pPr>
      <w:r>
        <w:rPr>
          <w:b/>
          <w:bCs/>
        </w:rPr>
        <w:t>Key words:</w:t>
      </w:r>
    </w:p>
    <w:p w14:paraId="5D68818F" w14:textId="77777777" w:rsidR="008055DE" w:rsidRDefault="00000000">
      <w:pPr>
        <w:pStyle w:val="Heading1"/>
      </w:pPr>
      <w:bookmarkStart w:id="1" w:name="introduction"/>
      <w:bookmarkEnd w:id="0"/>
      <w:r>
        <w:t>INTRODUCTION</w:t>
      </w:r>
    </w:p>
    <w:p w14:paraId="5D688190" w14:textId="77777777" w:rsidR="008055DE" w:rsidRDefault="00000000">
      <w:pPr>
        <w:pStyle w:val="FirstParagraph"/>
      </w:pPr>
      <w:r>
        <w:t>Global climate change and increasing human-induced environmental change are causing large-scale declines in many seabird species (Dias et al., 2019). Some threats have indirect effects, for example, climate change may cause a decline in food availability leading to lower breeding success, and eventually observable population declines (Fayet et al., 2021), while others directly cause mortality, such as bycatch and hunting. In long-lived species such as seabirds, changes in adult survival can have strong effects on population dynamics (Doherty et al., 2004; Jenouvrier et al., 2005),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 (Jenouvrier et al., 2005), thus ultimately having the strongest effect on population growth rate overall (Miles et al., 2015).</w:t>
      </w:r>
    </w:p>
    <w:p w14:paraId="5D688191" w14:textId="77777777" w:rsidR="008055DE" w:rsidRDefault="00000000">
      <w:pPr>
        <w:pStyle w:val="BodyText"/>
      </w:pPr>
      <w:r>
        <w:t>Atlantic puffins (</w:t>
      </w:r>
      <w:r>
        <w:rPr>
          <w:i/>
          <w:iCs/>
        </w:rPr>
        <w:t>Fratecula arctica</w:t>
      </w:r>
      <w:r>
        <w:t xml:space="preserve">; hereafter ‘puffin’) are rapidly declining across most of their European range (BirdLife International, 2021), and they are classified as ‘Vulnerable’ globally and ‘Endangered’ in Europe (BirdLife International, 2018). Puffin population declines are largely linked to changes in food availability causing declines in breeding success (Fayet et al., 2021) and thus recruitment rate leading to increases in the age of the population (Ausems et al., 2026). Generally, puffins start breeding when they are between 4 and 5 years, though </w:t>
      </w:r>
      <w:r>
        <w:lastRenderedPageBreak/>
        <w:t>occasionally they can start at 3 years old and often the first breeding attempt is at a later age (Lowther et al., 2020). Annual survival of both immatures and adults is high (Sandvik et al., 2008), though immature survival may vary between sites and years (see Ashcroft, 1979), and immatures are highly philopatric (Sandvik et al., 2008).</w:t>
      </w:r>
    </w:p>
    <w:p w14:paraId="5D688192" w14:textId="77777777" w:rsidR="008055DE" w:rsidRDefault="00000000">
      <w:pPr>
        <w:pStyle w:val="BodyText"/>
      </w:pPr>
      <w:r>
        <w:t xml:space="preserve">In Føroyar (Eng. Faroe Islands; </w:t>
      </w:r>
      <w:hyperlink w:anchor="fig-map">
        <w:r>
          <w:rPr>
            <w:rStyle w:val="Hyperlink"/>
          </w:rPr>
          <w:t>Fig. 1</w:t>
        </w:r>
      </w:hyperlink>
      <w:r>
        <w:t>), harvesting puffins is a long-stranding, culturally important tradition, where hunters catch flying puffins from set locations on land using a special made net. Puffins are a widespread species in the islands, with an estimated 550,000 breeding pairs in approximately 100 colonies (Hammer et al., 2014; Jensen et al., 2005). However, as in other areas, their population shows observed, but unquantified, declines in Føroyar. Overharvesting has long been understood to negatively affect the local population (Jensen &amp; Olsen, 2020), and, on Nólsoy (</w:t>
      </w:r>
      <w:hyperlink w:anchor="fig-map">
        <w:r>
          <w:rPr>
            <w:rStyle w:val="Hyperlink"/>
          </w:rPr>
          <w:t>Fig. 1</w:t>
        </w:r>
      </w:hyperlink>
      <w:r>
        <w:t>), the harvest was voluntarily halted in 2009 until the population was deemed stable enough in 2021 to sustain limited harvesting (Ausems et al., 2026).</w:t>
      </w:r>
    </w:p>
    <w:p w14:paraId="5D688193" w14:textId="77777777" w:rsidR="008055DE" w:rsidRDefault="00000000">
      <w:pPr>
        <w:pStyle w:val="BodyText"/>
      </w:pPr>
      <w:r>
        <w:t>Puffin hunters, or fowlers, follow a set of rules, intended to ensure only young, prospecting birds are caught and catching breeding adults is avoided (Jensen, 2010). Firstly, puffin harvesting is restricted to the chick-rearing period as this makes it easier to distinguish breeding adults and prospecting juveniles (Jensen, 2010). During the breeding season, puffins take part in ‘wheeling-flight’, where large groups of birds fly in circles or figure-8’s over the colony and surrounding water (Lowther et al., 2020). It is assumed that only prospecting birds take part in this behaviour, while breeding adults will either be identifiable by them carrying fish to their nest or directly heading back to sea to collect more food for the chick (Jensen, 2010). In addition, if a bird with wet bill and cheeks is caught, it is released again, as that is a sign of a bird having just delivered fish to its young.</w:t>
      </w:r>
    </w:p>
    <w:p w14:paraId="5D688194" w14:textId="77777777" w:rsidR="008055DE" w:rsidRDefault="00000000">
      <w:pPr>
        <w:pStyle w:val="BodyText"/>
      </w:pPr>
      <w:r>
        <w:lastRenderedPageBreak/>
        <w:t>However, ongoing global climate change and anthropogenic impacts have altered puffin breeding phenology and propensity. In northern latitudes, puffins are breeding later (Burr et al., 2016) in response to environmental conditions (Durant et al., 2004). Furthermore, birds are forced to forage further offshore to find sufficient food, leading to increases in breeding failures (Fayet et al., 2021). Together, these changes may affect the efficacy of the self-imposed rules; non-incubating partners and failed breeders may take part in the ‘wheeling-flight’ behaviour without showing the tell-tale signs of being of breeding age.</w:t>
      </w:r>
    </w:p>
    <w:p w14:paraId="5D688195" w14:textId="77777777" w:rsidR="008055DE" w:rsidRDefault="00000000">
      <w:pPr>
        <w:pStyle w:val="BodyText"/>
      </w:pPr>
      <w:r>
        <w:t>Using a 20-year dataset on legally harvested puffins (Løgtingslóg Um Fuglaveiðu, Sum Seinast Broytt Við Løgtingslóg Nr. 70 Frá 22. Mai 2023, 1984), we tested whether adults of breeding age were harvested. We hypothesise that, as the overall age of the population is increasing and the proportion of young (i.e., &lt;4 calendar years) is declining (Ausems et al., 2026), the ratio of adults of breeding age increased over the study period. Secondly, we tested whether breeding propensity changed over time by assessing brood patch presence in the sample. Brood patch formation is induced by hormones before the breeding season (Jones, 1971) but it quickly disappears when a bird is not incubating an egg (Bailey, 1952). While the presence of a brood patch can be a misleading sign of breeding status (McFarlane Tranquilla et al., 2003),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p w14:paraId="5D688196" w14:textId="77777777" w:rsidR="008055DE" w:rsidRDefault="00000000">
      <w:pPr>
        <w:pStyle w:val="Heading1"/>
      </w:pPr>
      <w:bookmarkStart w:id="2" w:name="methods"/>
      <w:bookmarkEnd w:id="1"/>
      <w:r>
        <w:t>Methods</w:t>
      </w:r>
    </w:p>
    <w:p w14:paraId="5D688197" w14:textId="77777777" w:rsidR="008055DE" w:rsidRDefault="00000000">
      <w:pPr>
        <w:pStyle w:val="FirstParagraph"/>
      </w:pPr>
      <w:r>
        <w:t>Between 1989 and 2008, J-KJ inspected 5472 randomly selected puffins harvested on the islands of Nólsoy from 1989 to 2006, and on Mykines from 2007 and 2008 (</w:t>
      </w:r>
      <w:hyperlink w:anchor="tbl-harvest">
        <w:r>
          <w:rPr>
            <w:rStyle w:val="Hyperlink"/>
          </w:rPr>
          <w:t>Table 1</w:t>
        </w:r>
      </w:hyperlink>
      <w:r>
        <w:t xml:space="preserve">), when no puffins </w:t>
      </w:r>
      <w:r>
        <w:lastRenderedPageBreak/>
        <w:t>could be obtained on Nólsoy (</w:t>
      </w:r>
      <w:hyperlink w:anchor="fig-map">
        <w:r>
          <w:rPr>
            <w:rStyle w:val="Hyperlink"/>
          </w:rPr>
          <w:t>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 </w:t>
      </w:r>
      <w:hyperlink w:anchor="tbl-harvest">
        <w:r>
          <w:rPr>
            <w:rStyle w:val="Hyperlink"/>
          </w:rPr>
          <w:t>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 </w:t>
      </w:r>
      <w:hyperlink w:anchor="tbl-harvest">
        <w:r>
          <w:rPr>
            <w:rStyle w:val="Hyperlink"/>
          </w:rPr>
          <w:t>Table 1</w:t>
        </w:r>
      </w:hyperlink>
      <w:r>
        <w:t>) but similar counts do not exist for the period between 1989 and 1995.</w:t>
      </w:r>
    </w:p>
    <w:p w14:paraId="5D688198" w14:textId="77777777" w:rsidR="008055DE" w:rsidRDefault="00000000">
      <w:pPr>
        <w:pStyle w:val="BodyText"/>
      </w:pPr>
      <w:r>
        <w:t>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 ‘convoluted’ oviduct indicates that a female has laid an egg and therefore is of breeding age (Van Franeker, 2004). For males, it is impossible to determine whether they have bred before. Based on bill characteristics, we could only determine their age up to 4 years (Ausems et al., 2026) which is generally too young to be of breeding age (Lowther et al., 2020). Therefore, we only included females for which their breeding status could be determined in our analyses (n = 1995).</w:t>
      </w:r>
    </w:p>
    <w:p w14:paraId="5D688199" w14:textId="77777777" w:rsidR="008055DE" w:rsidRDefault="00000000">
      <w:pPr>
        <w:pStyle w:val="BodyText"/>
      </w:pPr>
      <w:r>
        <w:t xml:space="preserve">We fitted a Bayesian generalised linear model (glm) with logistic regression [logit link, Bernoulli family; function </w:t>
      </w:r>
      <w:r>
        <w:rPr>
          <w:i/>
          <w:iCs/>
        </w:rPr>
        <w:t>brm</w:t>
      </w:r>
      <w:r>
        <w:t xml:space="preserve">, package </w:t>
      </w:r>
      <w:r>
        <w:rPr>
          <w:i/>
          <w:iCs/>
        </w:rPr>
        <w:t>brms</w:t>
      </w:r>
      <w:r>
        <w:t xml:space="preserve">; Bürkner (2017)]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w:t>
      </w:r>
      <w:r>
        <w:lastRenderedPageBreak/>
        <w:t>constrains the plausible per-decade change in breeding probability. We confirmed that these priors implied plausible values using prior predictive checks [</w:t>
      </w:r>
      <w:r>
        <w:rPr>
          <w:i/>
          <w:iCs/>
        </w:rPr>
        <w:t>pp_check</w:t>
      </w:r>
      <w:r>
        <w:t xml:space="preserve"> with </w:t>
      </w:r>
      <w:r>
        <w:rPr>
          <w:i/>
          <w:iCs/>
        </w:rPr>
        <w:t>type = “stat”</w:t>
      </w:r>
      <w:r>
        <w:t xml:space="preserve"> and </w:t>
      </w:r>
      <w:r>
        <w:rPr>
          <w:i/>
          <w:iCs/>
        </w:rPr>
        <w:t>stat = “mean”</w:t>
      </w:r>
      <w:r>
        <w:t>; Bürkner (2017)], before fitting the model to the data. We ran six chains, each with 4000 iterations of which 2000 were discarded as warmup, and without thinning.</w:t>
      </w:r>
    </w:p>
    <w:p w14:paraId="5D68819A" w14:textId="77777777" w:rsidR="008055DE" w:rsidRDefault="00000000">
      <w:pPr>
        <w:pStyle w:val="BodyText"/>
      </w:pPr>
      <w:r>
        <w:t xml:space="preserve">We assessed Markov Chain Monte Carlo (MCMC) convergence by inspecting trace plots for all parameters (Gabry et al., 2019), confirming that </w:t>
      </w:r>
      <m:oMath>
        <m:acc>
          <m:accPr>
            <m:ctrlPr>
              <w:rPr>
                <w:rFonts w:ascii="Cambria Math" w:hAnsi="Cambria Math"/>
              </w:rPr>
            </m:ctrlPr>
          </m:accPr>
          <m:e>
            <m:r>
              <w:rPr>
                <w:rFonts w:ascii="Cambria Math" w:hAnsi="Cambria Math"/>
              </w:rPr>
              <m:t>R</m:t>
            </m:r>
          </m:e>
        </m:acc>
      </m:oMath>
      <w:r>
        <w:t xml:space="preserve"> values were close to 1 [≤ 1.01; Vehtari et al. (2021)], and that effective sample sizes (bulk/tail ESS) were high for all fixed effects [i.e., &gt; 100 per chain; Vehtari et al. (2021)]. We evaluated posterior predictive fit graphically using </w:t>
      </w:r>
      <w:r>
        <w:rPr>
          <w:i/>
          <w:iCs/>
        </w:rPr>
        <w:t>pp_check</w:t>
      </w:r>
      <w:r>
        <w:t xml:space="preserve"> (Bürkner, 2017), comparing the observed distribution of breeding status to the posterior predictive distribution (Gabry et al., 2019; Gelman et al., 1996). We assessed out-of-sample predictive performance using approximate leave-one-out cross-validation (PSIS-LOO) assuming a good fit if the Pareto </w:t>
      </w:r>
      <w:r>
        <w:rPr>
          <w:i/>
          <w:iCs/>
        </w:rPr>
        <w:t>k</w:t>
      </w:r>
      <w:r>
        <w:t xml:space="preserve"> value was &lt; 0.7 for all observations [function </w:t>
      </w:r>
      <w:r>
        <w:rPr>
          <w:i/>
          <w:iCs/>
        </w:rPr>
        <w:t>loo</w:t>
      </w:r>
      <w:r>
        <w:t>; Bürkner (2017); Vehtari et al. (2017); Vehtari et al. (2024)].</w:t>
      </w:r>
    </w:p>
    <w:p w14:paraId="5D68819B" w14:textId="77777777" w:rsidR="008055DE" w:rsidRDefault="00000000">
      <w:pPr>
        <w:pStyle w:val="BodyText"/>
      </w:pPr>
      <w:r>
        <w:t>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p w14:paraId="5D68819C" w14:textId="77777777" w:rsidR="008055DE" w:rsidRDefault="00000000">
      <w:pPr>
        <w:pStyle w:val="Heading1"/>
      </w:pPr>
      <w:bookmarkStart w:id="3" w:name="results"/>
      <w:bookmarkEnd w:id="2"/>
      <w:r>
        <w:t>Results</w:t>
      </w:r>
    </w:p>
    <w:p w14:paraId="5D68819D" w14:textId="77777777" w:rsidR="008055DE" w:rsidRDefault="00000000">
      <w:pPr>
        <w:pStyle w:val="FirstParagraph"/>
      </w:pPr>
      <w:r>
        <w:t xml:space="preserve">The model passed the validation checks (Appendix 1) with all </w:t>
      </w:r>
      <m:oMath>
        <m:acc>
          <m:accPr>
            <m:ctrlPr>
              <w:rPr>
                <w:rFonts w:ascii="Cambria Math" w:hAnsi="Cambria Math"/>
              </w:rPr>
            </m:ctrlPr>
          </m:accPr>
          <m:e>
            <m:r>
              <w:rPr>
                <w:rFonts w:ascii="Cambria Math" w:hAnsi="Cambria Math"/>
              </w:rPr>
              <m:t>R</m:t>
            </m:r>
          </m:e>
        </m:acc>
      </m:oMath>
      <w:r>
        <w:t xml:space="preserve"> ≤ 1.001 and high ESS (bulk/tail ESS &gt; 8,900 of 12,000 post-warmup draws). All Pareto k estimates were &lt; 0.7 (expected log pointwise predictive density (ELPD) ± standard error (SE) = -856.24 ± 26.99, effective </w:t>
      </w:r>
      <w:r>
        <w:lastRenderedPageBreak/>
        <w:t>parameters ± SE = 3.69 ± 0.28). The robustness check models also passed all checks (Appendix 1).</w:t>
      </w:r>
    </w:p>
    <w:p w14:paraId="5D68819E" w14:textId="77777777" w:rsidR="008055DE" w:rsidRDefault="00000000">
      <w:pPr>
        <w:pStyle w:val="BodyText"/>
      </w:pPr>
      <w:r>
        <w:t>The GLM showed an increase in the ratio of females that had bred over time (</w:t>
      </w:r>
      <w:hyperlink w:anchor="fig-marg">
        <w:r>
          <w:rPr>
            <w:rStyle w:val="Hyperlink"/>
          </w:rPr>
          <w:t>Fig. 2</w:t>
        </w:r>
      </w:hyperlink>
      <w:r>
        <w:t>), with a stronger increase within females without a brood patch than females with a brood patch (</w:t>
      </w:r>
      <w:hyperlink w:anchor="fig-pred1">
        <w:r>
          <w:rPr>
            <w:rStyle w:val="Hyperlink"/>
          </w:rPr>
          <w:t>Fig. 3</w:t>
        </w:r>
      </w:hyperlink>
      <w:r>
        <w:t>). Averaged across the sample (integrating over the observed proportion of brood patch presence; ),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Table 2</w:t>
        </w:r>
      </w:hyperlink>
      <w:r>
        <w:t>).</w:t>
      </w:r>
    </w:p>
    <w:p w14:paraId="5D68819F" w14:textId="77777777" w:rsidR="008055DE" w:rsidRDefault="00000000">
      <w:pPr>
        <w:pStyle w:val="BodyText"/>
      </w:pPr>
      <w:r>
        <w:t xml:space="preserve">We found no credible trend in brood patch presence within confirmed breeding-age female (odds ratio 0.90/decade; 95% CI [0.56-1.44]; posterior probability = 67.7; </w:t>
      </w:r>
      <w:hyperlink w:anchor="fig-pred2">
        <w:r>
          <w:rPr>
            <w:rStyle w:val="Hyperlink"/>
          </w:rPr>
          <w:t>Fig. 4</w:t>
        </w:r>
      </w:hyperlink>
      <w:r>
        <w:t>). Removing 2007 did not change the model predictions (Δ odds ratio, full model minus 2007-excluded refit: intercept +0.00, year +0.00, brood patch presence -0.06, interaction +0.00).</w:t>
      </w:r>
    </w:p>
    <w:p w14:paraId="5D6881A0" w14:textId="77777777" w:rsidR="008055DE" w:rsidRDefault="00000000">
      <w:pPr>
        <w:pStyle w:val="Heading1"/>
      </w:pPr>
      <w:bookmarkStart w:id="4" w:name="discussion"/>
      <w:bookmarkEnd w:id="3"/>
      <w:r>
        <w:lastRenderedPageBreak/>
        <w:t>Discussion</w:t>
      </w:r>
    </w:p>
    <w:tbl>
      <w:tblPr>
        <w:tblStyle w:val="Table"/>
        <w:tblW w:w="5000" w:type="pct"/>
        <w:tblLayout w:type="fixed"/>
        <w:tblLook w:val="0000" w:firstRow="0" w:lastRow="0" w:firstColumn="0" w:lastColumn="0" w:noHBand="0" w:noVBand="0"/>
      </w:tblPr>
      <w:tblGrid>
        <w:gridCol w:w="9576"/>
      </w:tblGrid>
      <w:tr w:rsidR="008055DE" w14:paraId="5D6881A3" w14:textId="77777777">
        <w:tc>
          <w:tcPr>
            <w:tcW w:w="7920" w:type="dxa"/>
          </w:tcPr>
          <w:p w14:paraId="5D6881A1" w14:textId="77777777" w:rsidR="008055DE" w:rsidRDefault="00000000">
            <w:pPr>
              <w:pStyle w:val="Compact"/>
              <w:jc w:val="center"/>
            </w:pPr>
            <w:bookmarkStart w:id="5" w:name="fig-map"/>
            <w:r>
              <w:rPr>
                <w:noProof/>
              </w:rPr>
              <w:drawing>
                <wp:inline distT="0" distB="0" distL="0" distR="0" wp14:anchorId="5D688253" wp14:editId="5D688254">
                  <wp:extent cx="5943600" cy="602850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manuscript_files/figure-docx/fig-map-1.png"/>
                          <pic:cNvPicPr>
                            <a:picLocks noChangeAspect="1" noChangeArrowheads="1"/>
                          </pic:cNvPicPr>
                        </pic:nvPicPr>
                        <pic:blipFill>
                          <a:blip r:embed="rId5"/>
                          <a:stretch>
                            <a:fillRect/>
                          </a:stretch>
                        </pic:blipFill>
                        <pic:spPr bwMode="auto">
                          <a:xfrm>
                            <a:off x="0" y="0"/>
                            <a:ext cx="5943600" cy="6028508"/>
                          </a:xfrm>
                          <a:prstGeom prst="rect">
                            <a:avLst/>
                          </a:prstGeom>
                          <a:noFill/>
                          <a:ln w="9525">
                            <a:noFill/>
                            <a:headEnd/>
                            <a:tailEnd/>
                          </a:ln>
                        </pic:spPr>
                      </pic:pic>
                    </a:graphicData>
                  </a:graphic>
                </wp:inline>
              </w:drawing>
            </w:r>
          </w:p>
          <w:p w14:paraId="5D6881A2" w14:textId="77777777" w:rsidR="008055DE" w:rsidRDefault="00000000">
            <w:pPr>
              <w:pStyle w:val="ImageCaption"/>
              <w:spacing w:before="200"/>
              <w:jc w:val="left"/>
            </w:pPr>
            <w:r>
              <w:rPr>
                <w:b/>
                <w:bCs/>
              </w:rPr>
              <w:t>Fig.</w:t>
            </w:r>
            <w:r>
              <w:t> 1. Location of the study sites (red dots) in Føroyar.</w:t>
            </w:r>
          </w:p>
        </w:tc>
        <w:bookmarkEnd w:id="5"/>
      </w:tr>
      <w:tr w:rsidR="008055DE" w14:paraId="5D6881A6" w14:textId="77777777">
        <w:tc>
          <w:tcPr>
            <w:tcW w:w="7920" w:type="dxa"/>
          </w:tcPr>
          <w:p w14:paraId="5D6881A4" w14:textId="77777777" w:rsidR="008055DE" w:rsidRDefault="00000000">
            <w:pPr>
              <w:pStyle w:val="Compact"/>
              <w:jc w:val="center"/>
            </w:pPr>
            <w:bookmarkStart w:id="6" w:name="fig-marg"/>
            <w:r>
              <w:rPr>
                <w:noProof/>
              </w:rPr>
              <w:lastRenderedPageBreak/>
              <w:drawing>
                <wp:inline distT="0" distB="0" distL="0" distR="0" wp14:anchorId="5D688255" wp14:editId="5D688256">
                  <wp:extent cx="5943600" cy="4245428"/>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manuscript_files/figure-docx/fig-marg-1.png"/>
                          <pic:cNvPicPr>
                            <a:picLocks noChangeAspect="1" noChangeArrowheads="1"/>
                          </pic:cNvPicPr>
                        </pic:nvPicPr>
                        <pic:blipFill>
                          <a:blip r:embed="rId6"/>
                          <a:stretch>
                            <a:fillRect/>
                          </a:stretch>
                        </pic:blipFill>
                        <pic:spPr bwMode="auto">
                          <a:xfrm>
                            <a:off x="0" y="0"/>
                            <a:ext cx="5943600" cy="4245428"/>
                          </a:xfrm>
                          <a:prstGeom prst="rect">
                            <a:avLst/>
                          </a:prstGeom>
                          <a:noFill/>
                          <a:ln w="9525">
                            <a:noFill/>
                            <a:headEnd/>
                            <a:tailEnd/>
                          </a:ln>
                        </pic:spPr>
                      </pic:pic>
                    </a:graphicData>
                  </a:graphic>
                </wp:inline>
              </w:drawing>
            </w:r>
          </w:p>
          <w:p w14:paraId="5D6881A5" w14:textId="77777777" w:rsidR="008055DE" w:rsidRDefault="00000000">
            <w:pPr>
              <w:pStyle w:val="ImageCaption"/>
              <w:spacing w:before="200"/>
              <w:jc w:val="left"/>
            </w:pPr>
            <w:r>
              <w:rPr>
                <w:b/>
                <w:bCs/>
              </w:rPr>
              <w:t>Fig.</w:t>
            </w:r>
            <w:r>
              <w:t> 2. Temporal change in the probability of harvesting female Atlantic puffins (</w:t>
            </w:r>
            <w:r>
              <w:rPr>
                <w:iCs/>
              </w:rPr>
              <w:t>Fratercula arctica</w:t>
            </w:r>
            <w:r>
              <w:t>) of confirmed breeding age in Føroyar. The solid line shows the estimate from a Bayesian generalised linear model and the shaded band shows the 95% credible interval. The estimates are marginalised over each study year’s observed brood patch composition.</w:t>
            </w:r>
          </w:p>
        </w:tc>
        <w:bookmarkEnd w:id="6"/>
      </w:tr>
      <w:tr w:rsidR="008055DE" w14:paraId="5D6881A9" w14:textId="77777777">
        <w:tc>
          <w:tcPr>
            <w:tcW w:w="7920" w:type="dxa"/>
          </w:tcPr>
          <w:p w14:paraId="5D6881A7" w14:textId="77777777" w:rsidR="008055DE" w:rsidRDefault="00000000">
            <w:pPr>
              <w:pStyle w:val="Compact"/>
              <w:jc w:val="center"/>
            </w:pPr>
            <w:bookmarkStart w:id="7" w:name="fig-pred1"/>
            <w:r>
              <w:rPr>
                <w:noProof/>
              </w:rPr>
              <w:lastRenderedPageBreak/>
              <w:drawing>
                <wp:inline distT="0" distB="0" distL="0" distR="0" wp14:anchorId="5D688257" wp14:editId="5D688258">
                  <wp:extent cx="5943600" cy="4245428"/>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anuscript_files/figure-docx/fig-pred1-1.png"/>
                          <pic:cNvPicPr>
                            <a:picLocks noChangeAspect="1" noChangeArrowheads="1"/>
                          </pic:cNvPicPr>
                        </pic:nvPicPr>
                        <pic:blipFill>
                          <a:blip r:embed="rId7"/>
                          <a:stretch>
                            <a:fillRect/>
                          </a:stretch>
                        </pic:blipFill>
                        <pic:spPr bwMode="auto">
                          <a:xfrm>
                            <a:off x="0" y="0"/>
                            <a:ext cx="5943600" cy="4245428"/>
                          </a:xfrm>
                          <a:prstGeom prst="rect">
                            <a:avLst/>
                          </a:prstGeom>
                          <a:noFill/>
                          <a:ln w="9525">
                            <a:noFill/>
                            <a:headEnd/>
                            <a:tailEnd/>
                          </a:ln>
                        </pic:spPr>
                      </pic:pic>
                    </a:graphicData>
                  </a:graphic>
                </wp:inline>
              </w:drawing>
            </w:r>
          </w:p>
          <w:p w14:paraId="5D6881A8" w14:textId="77777777" w:rsidR="008055DE" w:rsidRDefault="00000000">
            <w:pPr>
              <w:pStyle w:val="ImageCaption"/>
              <w:spacing w:before="200"/>
              <w:jc w:val="left"/>
            </w:pPr>
            <w:r>
              <w:rPr>
                <w:b/>
                <w:bCs/>
              </w:rPr>
              <w:t>Fig.</w:t>
            </w:r>
            <w:r>
              <w:t> 3. Temporal change in the probability of harvesting female Atlantic puffins (</w:t>
            </w:r>
            <w:r>
              <w:rPr>
                <w:iCs/>
              </w:rPr>
              <w:t>Fratercula arctica</w:t>
            </w:r>
            <w:r>
              <w:t>) of confirmed breeding age in Føroyar, with or without brood patches. The solid lines show the estimates from a Bayesian generalised linear model and the shaded band shows the 95% credible intervals.</w:t>
            </w:r>
          </w:p>
        </w:tc>
        <w:bookmarkEnd w:id="7"/>
      </w:tr>
      <w:tr w:rsidR="008055DE" w14:paraId="5D6881AC" w14:textId="77777777">
        <w:tc>
          <w:tcPr>
            <w:tcW w:w="7920" w:type="dxa"/>
          </w:tcPr>
          <w:p w14:paraId="5D6881AA" w14:textId="77777777" w:rsidR="008055DE" w:rsidRDefault="00000000">
            <w:pPr>
              <w:pStyle w:val="Compact"/>
              <w:jc w:val="center"/>
            </w:pPr>
            <w:bookmarkStart w:id="8" w:name="fig-pred2"/>
            <w:r>
              <w:rPr>
                <w:noProof/>
              </w:rPr>
              <w:lastRenderedPageBreak/>
              <w:drawing>
                <wp:inline distT="0" distB="0" distL="0" distR="0" wp14:anchorId="5D688259" wp14:editId="5D68825A">
                  <wp:extent cx="5943600" cy="424542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manuscript_files/figure-docx/fig-pred2-1.png"/>
                          <pic:cNvPicPr>
                            <a:picLocks noChangeAspect="1" noChangeArrowheads="1"/>
                          </pic:cNvPicPr>
                        </pic:nvPicPr>
                        <pic:blipFill>
                          <a:blip r:embed="rId8"/>
                          <a:stretch>
                            <a:fillRect/>
                          </a:stretch>
                        </pic:blipFill>
                        <pic:spPr bwMode="auto">
                          <a:xfrm>
                            <a:off x="0" y="0"/>
                            <a:ext cx="5943600" cy="4245428"/>
                          </a:xfrm>
                          <a:prstGeom prst="rect">
                            <a:avLst/>
                          </a:prstGeom>
                          <a:noFill/>
                          <a:ln w="9525">
                            <a:noFill/>
                            <a:headEnd/>
                            <a:tailEnd/>
                          </a:ln>
                        </pic:spPr>
                      </pic:pic>
                    </a:graphicData>
                  </a:graphic>
                </wp:inline>
              </w:drawing>
            </w:r>
          </w:p>
          <w:p w14:paraId="5D6881AB" w14:textId="77777777" w:rsidR="008055DE" w:rsidRDefault="00000000">
            <w:pPr>
              <w:pStyle w:val="ImageCaption"/>
              <w:spacing w:before="200"/>
              <w:jc w:val="left"/>
            </w:pPr>
            <w:r>
              <w:rPr>
                <w:b/>
                <w:bCs/>
              </w:rPr>
              <w:t>Fig.</w:t>
            </w:r>
            <w:r>
              <w:t> 4. Temporal change in brood patch presence in female Atlantic puffins (</w:t>
            </w:r>
            <w:r>
              <w:rPr>
                <w:iCs/>
              </w:rPr>
              <w:t>Fratercula arctica</w:t>
            </w:r>
            <w:r>
              <w:t>) of confirmed breeding age harvested in Føroyar. The solid line shows the estimate from a Bayesian generalised linear model and the shaded band shows the 95% credible interval.</w:t>
            </w:r>
          </w:p>
        </w:tc>
        <w:bookmarkEnd w:id="8"/>
      </w:tr>
      <w:tr w:rsidR="008055DE" w14:paraId="5D688218" w14:textId="77777777">
        <w:tc>
          <w:tcPr>
            <w:tcW w:w="7920" w:type="dxa"/>
          </w:tcPr>
          <w:p w14:paraId="5D6881AD" w14:textId="77777777" w:rsidR="008055DE" w:rsidRDefault="00000000">
            <w:pPr>
              <w:pStyle w:val="ImageCaption"/>
              <w:spacing w:before="200"/>
              <w:jc w:val="left"/>
            </w:pPr>
            <w:bookmarkStart w:id="9" w:name="tbl-harvest"/>
            <w:r>
              <w:t>TABLE 1. Estimated annual puffin harvest and sample sizes, Nólsoy (1989–2006) and Mykines (2007–2008), Føroyar. Sample sizes are presented for the total sample size and the number of females in the sample.</w:t>
            </w:r>
          </w:p>
          <w:tbl>
            <w:tblPr>
              <w:tblStyle w:val="Table"/>
              <w:tblW w:w="0" w:type="auto"/>
              <w:tblLook w:val="0020" w:firstRow="1" w:lastRow="0" w:firstColumn="0" w:lastColumn="0" w:noHBand="0" w:noVBand="0"/>
            </w:tblPr>
            <w:tblGrid>
              <w:gridCol w:w="1980"/>
              <w:gridCol w:w="1980"/>
              <w:gridCol w:w="1980"/>
              <w:gridCol w:w="1980"/>
            </w:tblGrid>
            <w:tr w:rsidR="008055DE" w14:paraId="5D6881B2" w14:textId="77777777">
              <w:trPr>
                <w:tblHeader/>
              </w:trPr>
              <w:tc>
                <w:tcPr>
                  <w:tcW w:w="1980" w:type="dxa"/>
                </w:tcPr>
                <w:p w14:paraId="5D6881AE" w14:textId="77777777" w:rsidR="008055DE" w:rsidRDefault="00000000">
                  <w:pPr>
                    <w:pStyle w:val="Compact"/>
                    <w:jc w:val="center"/>
                  </w:pPr>
                  <w:r>
                    <w:t>Year</w:t>
                  </w:r>
                </w:p>
              </w:tc>
              <w:tc>
                <w:tcPr>
                  <w:tcW w:w="1980" w:type="dxa"/>
                </w:tcPr>
                <w:p w14:paraId="5D6881AF" w14:textId="77777777" w:rsidR="008055DE" w:rsidRDefault="00000000">
                  <w:pPr>
                    <w:pStyle w:val="Compact"/>
                    <w:jc w:val="center"/>
                  </w:pPr>
                  <w:r>
                    <w:t>Estimated harvest</w:t>
                  </w:r>
                </w:p>
              </w:tc>
              <w:tc>
                <w:tcPr>
                  <w:tcW w:w="1980" w:type="dxa"/>
                </w:tcPr>
                <w:p w14:paraId="5D6881B0" w14:textId="77777777" w:rsidR="008055DE" w:rsidRDefault="00000000">
                  <w:pPr>
                    <w:pStyle w:val="Compact"/>
                    <w:jc w:val="center"/>
                  </w:pPr>
                  <w:r>
                    <w:t>Sample size</w:t>
                  </w:r>
                </w:p>
              </w:tc>
              <w:tc>
                <w:tcPr>
                  <w:tcW w:w="1980" w:type="dxa"/>
                </w:tcPr>
                <w:p w14:paraId="5D6881B1" w14:textId="77777777" w:rsidR="008055DE" w:rsidRDefault="00000000">
                  <w:pPr>
                    <w:pStyle w:val="Compact"/>
                    <w:jc w:val="center"/>
                  </w:pPr>
                  <w:r>
                    <w:t>Females</w:t>
                  </w:r>
                </w:p>
              </w:tc>
            </w:tr>
            <w:tr w:rsidR="008055DE" w14:paraId="5D6881B7" w14:textId="77777777">
              <w:tc>
                <w:tcPr>
                  <w:tcW w:w="1980" w:type="dxa"/>
                </w:tcPr>
                <w:p w14:paraId="5D6881B3" w14:textId="77777777" w:rsidR="008055DE" w:rsidRDefault="00000000">
                  <w:pPr>
                    <w:pStyle w:val="Compact"/>
                    <w:jc w:val="center"/>
                  </w:pPr>
                  <w:r>
                    <w:t>1989</w:t>
                  </w:r>
                </w:p>
              </w:tc>
              <w:tc>
                <w:tcPr>
                  <w:tcW w:w="1980" w:type="dxa"/>
                </w:tcPr>
                <w:p w14:paraId="5D6881B4" w14:textId="77777777" w:rsidR="008055DE" w:rsidRDefault="00000000">
                  <w:pPr>
                    <w:pStyle w:val="Compact"/>
                    <w:jc w:val="center"/>
                  </w:pPr>
                  <w:r>
                    <w:t>NA</w:t>
                  </w:r>
                </w:p>
              </w:tc>
              <w:tc>
                <w:tcPr>
                  <w:tcW w:w="1980" w:type="dxa"/>
                </w:tcPr>
                <w:p w14:paraId="5D6881B5" w14:textId="77777777" w:rsidR="008055DE" w:rsidRDefault="00000000">
                  <w:pPr>
                    <w:pStyle w:val="Compact"/>
                    <w:jc w:val="center"/>
                  </w:pPr>
                  <w:r>
                    <w:t>259</w:t>
                  </w:r>
                </w:p>
              </w:tc>
              <w:tc>
                <w:tcPr>
                  <w:tcW w:w="1980" w:type="dxa"/>
                </w:tcPr>
                <w:p w14:paraId="5D6881B6" w14:textId="77777777" w:rsidR="008055DE" w:rsidRDefault="00000000">
                  <w:pPr>
                    <w:pStyle w:val="Compact"/>
                    <w:jc w:val="center"/>
                  </w:pPr>
                  <w:r>
                    <w:t>NA</w:t>
                  </w:r>
                </w:p>
              </w:tc>
            </w:tr>
            <w:tr w:rsidR="008055DE" w14:paraId="5D6881BC" w14:textId="77777777">
              <w:tc>
                <w:tcPr>
                  <w:tcW w:w="1980" w:type="dxa"/>
                </w:tcPr>
                <w:p w14:paraId="5D6881B8" w14:textId="77777777" w:rsidR="008055DE" w:rsidRDefault="00000000">
                  <w:pPr>
                    <w:pStyle w:val="Compact"/>
                    <w:jc w:val="center"/>
                  </w:pPr>
                  <w:r>
                    <w:t>1990</w:t>
                  </w:r>
                </w:p>
              </w:tc>
              <w:tc>
                <w:tcPr>
                  <w:tcW w:w="1980" w:type="dxa"/>
                </w:tcPr>
                <w:p w14:paraId="5D6881B9" w14:textId="77777777" w:rsidR="008055DE" w:rsidRDefault="00000000">
                  <w:pPr>
                    <w:pStyle w:val="Compact"/>
                    <w:jc w:val="center"/>
                  </w:pPr>
                  <w:r>
                    <w:t>NA</w:t>
                  </w:r>
                </w:p>
              </w:tc>
              <w:tc>
                <w:tcPr>
                  <w:tcW w:w="1980" w:type="dxa"/>
                </w:tcPr>
                <w:p w14:paraId="5D6881BA" w14:textId="77777777" w:rsidR="008055DE" w:rsidRDefault="00000000">
                  <w:pPr>
                    <w:pStyle w:val="Compact"/>
                    <w:jc w:val="center"/>
                  </w:pPr>
                  <w:r>
                    <w:t>120</w:t>
                  </w:r>
                </w:p>
              </w:tc>
              <w:tc>
                <w:tcPr>
                  <w:tcW w:w="1980" w:type="dxa"/>
                </w:tcPr>
                <w:p w14:paraId="5D6881BB" w14:textId="77777777" w:rsidR="008055DE" w:rsidRDefault="00000000">
                  <w:pPr>
                    <w:pStyle w:val="Compact"/>
                    <w:jc w:val="center"/>
                  </w:pPr>
                  <w:r>
                    <w:t>NA</w:t>
                  </w:r>
                </w:p>
              </w:tc>
            </w:tr>
            <w:tr w:rsidR="008055DE" w14:paraId="5D6881C1" w14:textId="77777777">
              <w:tc>
                <w:tcPr>
                  <w:tcW w:w="1980" w:type="dxa"/>
                </w:tcPr>
                <w:p w14:paraId="5D6881BD" w14:textId="77777777" w:rsidR="008055DE" w:rsidRDefault="00000000">
                  <w:pPr>
                    <w:pStyle w:val="Compact"/>
                    <w:jc w:val="center"/>
                  </w:pPr>
                  <w:r>
                    <w:t>1991</w:t>
                  </w:r>
                </w:p>
              </w:tc>
              <w:tc>
                <w:tcPr>
                  <w:tcW w:w="1980" w:type="dxa"/>
                </w:tcPr>
                <w:p w14:paraId="5D6881BE" w14:textId="77777777" w:rsidR="008055DE" w:rsidRDefault="00000000">
                  <w:pPr>
                    <w:pStyle w:val="Compact"/>
                    <w:jc w:val="center"/>
                  </w:pPr>
                  <w:r>
                    <w:t>NA</w:t>
                  </w:r>
                </w:p>
              </w:tc>
              <w:tc>
                <w:tcPr>
                  <w:tcW w:w="1980" w:type="dxa"/>
                </w:tcPr>
                <w:p w14:paraId="5D6881BF" w14:textId="77777777" w:rsidR="008055DE" w:rsidRDefault="00000000">
                  <w:pPr>
                    <w:pStyle w:val="Compact"/>
                    <w:jc w:val="center"/>
                  </w:pPr>
                  <w:r>
                    <w:t>119</w:t>
                  </w:r>
                </w:p>
              </w:tc>
              <w:tc>
                <w:tcPr>
                  <w:tcW w:w="1980" w:type="dxa"/>
                </w:tcPr>
                <w:p w14:paraId="5D6881C0" w14:textId="77777777" w:rsidR="008055DE" w:rsidRDefault="00000000">
                  <w:pPr>
                    <w:pStyle w:val="Compact"/>
                    <w:jc w:val="center"/>
                  </w:pPr>
                  <w:r>
                    <w:t>NA</w:t>
                  </w:r>
                </w:p>
              </w:tc>
            </w:tr>
            <w:tr w:rsidR="008055DE" w14:paraId="5D6881C6" w14:textId="77777777">
              <w:tc>
                <w:tcPr>
                  <w:tcW w:w="1980" w:type="dxa"/>
                </w:tcPr>
                <w:p w14:paraId="5D6881C2" w14:textId="77777777" w:rsidR="008055DE" w:rsidRDefault="00000000">
                  <w:pPr>
                    <w:pStyle w:val="Compact"/>
                    <w:jc w:val="center"/>
                  </w:pPr>
                  <w:r>
                    <w:t>1992</w:t>
                  </w:r>
                </w:p>
              </w:tc>
              <w:tc>
                <w:tcPr>
                  <w:tcW w:w="1980" w:type="dxa"/>
                </w:tcPr>
                <w:p w14:paraId="5D6881C3" w14:textId="77777777" w:rsidR="008055DE" w:rsidRDefault="00000000">
                  <w:pPr>
                    <w:pStyle w:val="Compact"/>
                    <w:jc w:val="center"/>
                  </w:pPr>
                  <w:r>
                    <w:t>NA</w:t>
                  </w:r>
                </w:p>
              </w:tc>
              <w:tc>
                <w:tcPr>
                  <w:tcW w:w="1980" w:type="dxa"/>
                </w:tcPr>
                <w:p w14:paraId="5D6881C4" w14:textId="77777777" w:rsidR="008055DE" w:rsidRDefault="00000000">
                  <w:pPr>
                    <w:pStyle w:val="Compact"/>
                    <w:jc w:val="center"/>
                  </w:pPr>
                  <w:r>
                    <w:t>161</w:t>
                  </w:r>
                </w:p>
              </w:tc>
              <w:tc>
                <w:tcPr>
                  <w:tcW w:w="1980" w:type="dxa"/>
                </w:tcPr>
                <w:p w14:paraId="5D6881C5" w14:textId="77777777" w:rsidR="008055DE" w:rsidRDefault="00000000">
                  <w:pPr>
                    <w:pStyle w:val="Compact"/>
                    <w:jc w:val="center"/>
                  </w:pPr>
                  <w:r>
                    <w:t>NA</w:t>
                  </w:r>
                </w:p>
              </w:tc>
            </w:tr>
            <w:tr w:rsidR="008055DE" w14:paraId="5D6881CB" w14:textId="77777777">
              <w:tc>
                <w:tcPr>
                  <w:tcW w:w="1980" w:type="dxa"/>
                </w:tcPr>
                <w:p w14:paraId="5D6881C7" w14:textId="77777777" w:rsidR="008055DE" w:rsidRDefault="00000000">
                  <w:pPr>
                    <w:pStyle w:val="Compact"/>
                    <w:jc w:val="center"/>
                  </w:pPr>
                  <w:r>
                    <w:t>1993</w:t>
                  </w:r>
                </w:p>
              </w:tc>
              <w:tc>
                <w:tcPr>
                  <w:tcW w:w="1980" w:type="dxa"/>
                </w:tcPr>
                <w:p w14:paraId="5D6881C8" w14:textId="77777777" w:rsidR="008055DE" w:rsidRDefault="00000000">
                  <w:pPr>
                    <w:pStyle w:val="Compact"/>
                    <w:jc w:val="center"/>
                  </w:pPr>
                  <w:r>
                    <w:t>NA</w:t>
                  </w:r>
                </w:p>
              </w:tc>
              <w:tc>
                <w:tcPr>
                  <w:tcW w:w="1980" w:type="dxa"/>
                </w:tcPr>
                <w:p w14:paraId="5D6881C9" w14:textId="77777777" w:rsidR="008055DE" w:rsidRDefault="00000000">
                  <w:pPr>
                    <w:pStyle w:val="Compact"/>
                    <w:jc w:val="center"/>
                  </w:pPr>
                  <w:r>
                    <w:t>201</w:t>
                  </w:r>
                </w:p>
              </w:tc>
              <w:tc>
                <w:tcPr>
                  <w:tcW w:w="1980" w:type="dxa"/>
                </w:tcPr>
                <w:p w14:paraId="5D6881CA" w14:textId="77777777" w:rsidR="008055DE" w:rsidRDefault="00000000">
                  <w:pPr>
                    <w:pStyle w:val="Compact"/>
                    <w:jc w:val="center"/>
                  </w:pPr>
                  <w:r>
                    <w:t>NA</w:t>
                  </w:r>
                </w:p>
              </w:tc>
            </w:tr>
            <w:tr w:rsidR="008055DE" w14:paraId="5D6881D0" w14:textId="77777777">
              <w:tc>
                <w:tcPr>
                  <w:tcW w:w="1980" w:type="dxa"/>
                </w:tcPr>
                <w:p w14:paraId="5D6881CC" w14:textId="77777777" w:rsidR="008055DE" w:rsidRDefault="00000000">
                  <w:pPr>
                    <w:pStyle w:val="Compact"/>
                    <w:jc w:val="center"/>
                  </w:pPr>
                  <w:r>
                    <w:t>1994</w:t>
                  </w:r>
                </w:p>
              </w:tc>
              <w:tc>
                <w:tcPr>
                  <w:tcW w:w="1980" w:type="dxa"/>
                </w:tcPr>
                <w:p w14:paraId="5D6881CD" w14:textId="77777777" w:rsidR="008055DE" w:rsidRDefault="00000000">
                  <w:pPr>
                    <w:pStyle w:val="Compact"/>
                    <w:jc w:val="center"/>
                  </w:pPr>
                  <w:r>
                    <w:t>NA</w:t>
                  </w:r>
                </w:p>
              </w:tc>
              <w:tc>
                <w:tcPr>
                  <w:tcW w:w="1980" w:type="dxa"/>
                </w:tcPr>
                <w:p w14:paraId="5D6881CE" w14:textId="77777777" w:rsidR="008055DE" w:rsidRDefault="00000000">
                  <w:pPr>
                    <w:pStyle w:val="Compact"/>
                    <w:jc w:val="center"/>
                  </w:pPr>
                  <w:r>
                    <w:t>296</w:t>
                  </w:r>
                </w:p>
              </w:tc>
              <w:tc>
                <w:tcPr>
                  <w:tcW w:w="1980" w:type="dxa"/>
                </w:tcPr>
                <w:p w14:paraId="5D6881CF" w14:textId="77777777" w:rsidR="008055DE" w:rsidRDefault="00000000">
                  <w:pPr>
                    <w:pStyle w:val="Compact"/>
                    <w:jc w:val="center"/>
                  </w:pPr>
                  <w:r>
                    <w:t>NA</w:t>
                  </w:r>
                </w:p>
              </w:tc>
            </w:tr>
            <w:tr w:rsidR="008055DE" w14:paraId="5D6881D5" w14:textId="77777777">
              <w:tc>
                <w:tcPr>
                  <w:tcW w:w="1980" w:type="dxa"/>
                </w:tcPr>
                <w:p w14:paraId="5D6881D1" w14:textId="77777777" w:rsidR="008055DE" w:rsidRDefault="00000000">
                  <w:pPr>
                    <w:pStyle w:val="Compact"/>
                    <w:jc w:val="center"/>
                  </w:pPr>
                  <w:r>
                    <w:t>1995</w:t>
                  </w:r>
                </w:p>
              </w:tc>
              <w:tc>
                <w:tcPr>
                  <w:tcW w:w="1980" w:type="dxa"/>
                </w:tcPr>
                <w:p w14:paraId="5D6881D2" w14:textId="77777777" w:rsidR="008055DE" w:rsidRDefault="00000000">
                  <w:pPr>
                    <w:pStyle w:val="Compact"/>
                    <w:jc w:val="center"/>
                  </w:pPr>
                  <w:r>
                    <w:t>NA</w:t>
                  </w:r>
                </w:p>
              </w:tc>
              <w:tc>
                <w:tcPr>
                  <w:tcW w:w="1980" w:type="dxa"/>
                </w:tcPr>
                <w:p w14:paraId="5D6881D3" w14:textId="77777777" w:rsidR="008055DE" w:rsidRDefault="00000000">
                  <w:pPr>
                    <w:pStyle w:val="Compact"/>
                    <w:jc w:val="center"/>
                  </w:pPr>
                  <w:r>
                    <w:t>402</w:t>
                  </w:r>
                </w:p>
              </w:tc>
              <w:tc>
                <w:tcPr>
                  <w:tcW w:w="1980" w:type="dxa"/>
                </w:tcPr>
                <w:p w14:paraId="5D6881D4" w14:textId="77777777" w:rsidR="008055DE" w:rsidRDefault="00000000">
                  <w:pPr>
                    <w:pStyle w:val="Compact"/>
                    <w:jc w:val="center"/>
                  </w:pPr>
                  <w:r>
                    <w:t>186</w:t>
                  </w:r>
                </w:p>
              </w:tc>
            </w:tr>
            <w:tr w:rsidR="008055DE" w14:paraId="5D6881DA" w14:textId="77777777">
              <w:tc>
                <w:tcPr>
                  <w:tcW w:w="1980" w:type="dxa"/>
                </w:tcPr>
                <w:p w14:paraId="5D6881D6" w14:textId="77777777" w:rsidR="008055DE" w:rsidRDefault="00000000">
                  <w:pPr>
                    <w:pStyle w:val="Compact"/>
                    <w:jc w:val="center"/>
                  </w:pPr>
                  <w:r>
                    <w:t>1996</w:t>
                  </w:r>
                </w:p>
              </w:tc>
              <w:tc>
                <w:tcPr>
                  <w:tcW w:w="1980" w:type="dxa"/>
                </w:tcPr>
                <w:p w14:paraId="5D6881D7" w14:textId="77777777" w:rsidR="008055DE" w:rsidRDefault="00000000">
                  <w:pPr>
                    <w:pStyle w:val="Compact"/>
                    <w:jc w:val="center"/>
                  </w:pPr>
                  <w:r>
                    <w:t>8188</w:t>
                  </w:r>
                </w:p>
              </w:tc>
              <w:tc>
                <w:tcPr>
                  <w:tcW w:w="1980" w:type="dxa"/>
                </w:tcPr>
                <w:p w14:paraId="5D6881D8" w14:textId="77777777" w:rsidR="008055DE" w:rsidRDefault="00000000">
                  <w:pPr>
                    <w:pStyle w:val="Compact"/>
                    <w:jc w:val="center"/>
                  </w:pPr>
                  <w:r>
                    <w:t>350</w:t>
                  </w:r>
                </w:p>
              </w:tc>
              <w:tc>
                <w:tcPr>
                  <w:tcW w:w="1980" w:type="dxa"/>
                </w:tcPr>
                <w:p w14:paraId="5D6881D9" w14:textId="77777777" w:rsidR="008055DE" w:rsidRDefault="00000000">
                  <w:pPr>
                    <w:pStyle w:val="Compact"/>
                    <w:jc w:val="center"/>
                  </w:pPr>
                  <w:r>
                    <w:t>176</w:t>
                  </w:r>
                </w:p>
              </w:tc>
            </w:tr>
            <w:tr w:rsidR="008055DE" w14:paraId="5D6881DF" w14:textId="77777777">
              <w:tc>
                <w:tcPr>
                  <w:tcW w:w="1980" w:type="dxa"/>
                </w:tcPr>
                <w:p w14:paraId="5D6881DB" w14:textId="77777777" w:rsidR="008055DE" w:rsidRDefault="00000000">
                  <w:pPr>
                    <w:pStyle w:val="Compact"/>
                    <w:jc w:val="center"/>
                  </w:pPr>
                  <w:r>
                    <w:t>1997</w:t>
                  </w:r>
                </w:p>
              </w:tc>
              <w:tc>
                <w:tcPr>
                  <w:tcW w:w="1980" w:type="dxa"/>
                </w:tcPr>
                <w:p w14:paraId="5D6881DC" w14:textId="77777777" w:rsidR="008055DE" w:rsidRDefault="00000000">
                  <w:pPr>
                    <w:pStyle w:val="Compact"/>
                    <w:jc w:val="center"/>
                  </w:pPr>
                  <w:r>
                    <w:t>6976</w:t>
                  </w:r>
                </w:p>
              </w:tc>
              <w:tc>
                <w:tcPr>
                  <w:tcW w:w="1980" w:type="dxa"/>
                </w:tcPr>
                <w:p w14:paraId="5D6881DD" w14:textId="77777777" w:rsidR="008055DE" w:rsidRDefault="00000000">
                  <w:pPr>
                    <w:pStyle w:val="Compact"/>
                    <w:jc w:val="center"/>
                  </w:pPr>
                  <w:r>
                    <w:t>446</w:t>
                  </w:r>
                </w:p>
              </w:tc>
              <w:tc>
                <w:tcPr>
                  <w:tcW w:w="1980" w:type="dxa"/>
                </w:tcPr>
                <w:p w14:paraId="5D6881DE" w14:textId="77777777" w:rsidR="008055DE" w:rsidRDefault="00000000">
                  <w:pPr>
                    <w:pStyle w:val="Compact"/>
                    <w:jc w:val="center"/>
                  </w:pPr>
                  <w:r>
                    <w:t>195</w:t>
                  </w:r>
                </w:p>
              </w:tc>
            </w:tr>
            <w:tr w:rsidR="008055DE" w14:paraId="5D6881E4" w14:textId="77777777">
              <w:tc>
                <w:tcPr>
                  <w:tcW w:w="1980" w:type="dxa"/>
                </w:tcPr>
                <w:p w14:paraId="5D6881E0" w14:textId="77777777" w:rsidR="008055DE" w:rsidRDefault="00000000">
                  <w:pPr>
                    <w:pStyle w:val="Compact"/>
                    <w:jc w:val="center"/>
                  </w:pPr>
                  <w:r>
                    <w:t>1998</w:t>
                  </w:r>
                </w:p>
              </w:tc>
              <w:tc>
                <w:tcPr>
                  <w:tcW w:w="1980" w:type="dxa"/>
                </w:tcPr>
                <w:p w14:paraId="5D6881E1" w14:textId="77777777" w:rsidR="008055DE" w:rsidRDefault="00000000">
                  <w:pPr>
                    <w:pStyle w:val="Compact"/>
                    <w:jc w:val="center"/>
                  </w:pPr>
                  <w:r>
                    <w:t>8277</w:t>
                  </w:r>
                </w:p>
              </w:tc>
              <w:tc>
                <w:tcPr>
                  <w:tcW w:w="1980" w:type="dxa"/>
                </w:tcPr>
                <w:p w14:paraId="5D6881E2" w14:textId="77777777" w:rsidR="008055DE" w:rsidRDefault="00000000">
                  <w:pPr>
                    <w:pStyle w:val="Compact"/>
                    <w:jc w:val="center"/>
                  </w:pPr>
                  <w:r>
                    <w:t>450</w:t>
                  </w:r>
                </w:p>
              </w:tc>
              <w:tc>
                <w:tcPr>
                  <w:tcW w:w="1980" w:type="dxa"/>
                </w:tcPr>
                <w:p w14:paraId="5D6881E3" w14:textId="77777777" w:rsidR="008055DE" w:rsidRDefault="00000000">
                  <w:pPr>
                    <w:pStyle w:val="Compact"/>
                    <w:jc w:val="center"/>
                  </w:pPr>
                  <w:r>
                    <w:t>222</w:t>
                  </w:r>
                </w:p>
              </w:tc>
            </w:tr>
            <w:tr w:rsidR="008055DE" w14:paraId="5D6881E9" w14:textId="77777777">
              <w:tc>
                <w:tcPr>
                  <w:tcW w:w="1980" w:type="dxa"/>
                </w:tcPr>
                <w:p w14:paraId="5D6881E5" w14:textId="77777777" w:rsidR="008055DE" w:rsidRDefault="00000000">
                  <w:pPr>
                    <w:pStyle w:val="Compact"/>
                    <w:jc w:val="center"/>
                  </w:pPr>
                  <w:r>
                    <w:lastRenderedPageBreak/>
                    <w:t>1999</w:t>
                  </w:r>
                </w:p>
              </w:tc>
              <w:tc>
                <w:tcPr>
                  <w:tcW w:w="1980" w:type="dxa"/>
                </w:tcPr>
                <w:p w14:paraId="5D6881E6" w14:textId="77777777" w:rsidR="008055DE" w:rsidRDefault="00000000">
                  <w:pPr>
                    <w:pStyle w:val="Compact"/>
                    <w:jc w:val="center"/>
                  </w:pPr>
                  <w:r>
                    <w:t>13324</w:t>
                  </w:r>
                </w:p>
              </w:tc>
              <w:tc>
                <w:tcPr>
                  <w:tcW w:w="1980" w:type="dxa"/>
                </w:tcPr>
                <w:p w14:paraId="5D6881E7" w14:textId="77777777" w:rsidR="008055DE" w:rsidRDefault="00000000">
                  <w:pPr>
                    <w:pStyle w:val="Compact"/>
                    <w:jc w:val="center"/>
                  </w:pPr>
                  <w:r>
                    <w:t>439</w:t>
                  </w:r>
                </w:p>
              </w:tc>
              <w:tc>
                <w:tcPr>
                  <w:tcW w:w="1980" w:type="dxa"/>
                </w:tcPr>
                <w:p w14:paraId="5D6881E8" w14:textId="77777777" w:rsidR="008055DE" w:rsidRDefault="00000000">
                  <w:pPr>
                    <w:pStyle w:val="Compact"/>
                    <w:jc w:val="center"/>
                  </w:pPr>
                  <w:r>
                    <w:t>188</w:t>
                  </w:r>
                </w:p>
              </w:tc>
            </w:tr>
            <w:tr w:rsidR="008055DE" w14:paraId="5D6881EE" w14:textId="77777777">
              <w:tc>
                <w:tcPr>
                  <w:tcW w:w="1980" w:type="dxa"/>
                </w:tcPr>
                <w:p w14:paraId="5D6881EA" w14:textId="77777777" w:rsidR="008055DE" w:rsidRDefault="00000000">
                  <w:pPr>
                    <w:pStyle w:val="Compact"/>
                    <w:jc w:val="center"/>
                  </w:pPr>
                  <w:r>
                    <w:t>2000</w:t>
                  </w:r>
                </w:p>
              </w:tc>
              <w:tc>
                <w:tcPr>
                  <w:tcW w:w="1980" w:type="dxa"/>
                </w:tcPr>
                <w:p w14:paraId="5D6881EB" w14:textId="77777777" w:rsidR="008055DE" w:rsidRDefault="00000000">
                  <w:pPr>
                    <w:pStyle w:val="Compact"/>
                    <w:jc w:val="center"/>
                  </w:pPr>
                  <w:r>
                    <w:t>12758</w:t>
                  </w:r>
                </w:p>
              </w:tc>
              <w:tc>
                <w:tcPr>
                  <w:tcW w:w="1980" w:type="dxa"/>
                </w:tcPr>
                <w:p w14:paraId="5D6881EC" w14:textId="77777777" w:rsidR="008055DE" w:rsidRDefault="00000000">
                  <w:pPr>
                    <w:pStyle w:val="Compact"/>
                    <w:jc w:val="center"/>
                  </w:pPr>
                  <w:r>
                    <w:t>424</w:t>
                  </w:r>
                </w:p>
              </w:tc>
              <w:tc>
                <w:tcPr>
                  <w:tcW w:w="1980" w:type="dxa"/>
                </w:tcPr>
                <w:p w14:paraId="5D6881ED" w14:textId="77777777" w:rsidR="008055DE" w:rsidRDefault="00000000">
                  <w:pPr>
                    <w:pStyle w:val="Compact"/>
                    <w:jc w:val="center"/>
                  </w:pPr>
                  <w:r>
                    <w:t>209</w:t>
                  </w:r>
                </w:p>
              </w:tc>
            </w:tr>
            <w:tr w:rsidR="008055DE" w14:paraId="5D6881F3" w14:textId="77777777">
              <w:tc>
                <w:tcPr>
                  <w:tcW w:w="1980" w:type="dxa"/>
                </w:tcPr>
                <w:p w14:paraId="5D6881EF" w14:textId="77777777" w:rsidR="008055DE" w:rsidRDefault="00000000">
                  <w:pPr>
                    <w:pStyle w:val="Compact"/>
                    <w:jc w:val="center"/>
                  </w:pPr>
                  <w:r>
                    <w:t>2001</w:t>
                  </w:r>
                </w:p>
              </w:tc>
              <w:tc>
                <w:tcPr>
                  <w:tcW w:w="1980" w:type="dxa"/>
                </w:tcPr>
                <w:p w14:paraId="5D6881F0" w14:textId="77777777" w:rsidR="008055DE" w:rsidRDefault="00000000">
                  <w:pPr>
                    <w:pStyle w:val="Compact"/>
                    <w:jc w:val="center"/>
                  </w:pPr>
                  <w:r>
                    <w:t>10992</w:t>
                  </w:r>
                </w:p>
              </w:tc>
              <w:tc>
                <w:tcPr>
                  <w:tcW w:w="1980" w:type="dxa"/>
                </w:tcPr>
                <w:p w14:paraId="5D6881F1" w14:textId="77777777" w:rsidR="008055DE" w:rsidRDefault="00000000">
                  <w:pPr>
                    <w:pStyle w:val="Compact"/>
                    <w:jc w:val="center"/>
                  </w:pPr>
                  <w:r>
                    <w:t>390</w:t>
                  </w:r>
                </w:p>
              </w:tc>
              <w:tc>
                <w:tcPr>
                  <w:tcW w:w="1980" w:type="dxa"/>
                </w:tcPr>
                <w:p w14:paraId="5D6881F2" w14:textId="77777777" w:rsidR="008055DE" w:rsidRDefault="00000000">
                  <w:pPr>
                    <w:pStyle w:val="Compact"/>
                    <w:jc w:val="center"/>
                  </w:pPr>
                  <w:r>
                    <w:t>176</w:t>
                  </w:r>
                </w:p>
              </w:tc>
            </w:tr>
            <w:tr w:rsidR="008055DE" w14:paraId="5D6881F8" w14:textId="77777777">
              <w:tc>
                <w:tcPr>
                  <w:tcW w:w="1980" w:type="dxa"/>
                </w:tcPr>
                <w:p w14:paraId="5D6881F4" w14:textId="77777777" w:rsidR="008055DE" w:rsidRDefault="00000000">
                  <w:pPr>
                    <w:pStyle w:val="Compact"/>
                    <w:jc w:val="center"/>
                  </w:pPr>
                  <w:r>
                    <w:t>2002</w:t>
                  </w:r>
                </w:p>
              </w:tc>
              <w:tc>
                <w:tcPr>
                  <w:tcW w:w="1980" w:type="dxa"/>
                </w:tcPr>
                <w:p w14:paraId="5D6881F5" w14:textId="77777777" w:rsidR="008055DE" w:rsidRDefault="00000000">
                  <w:pPr>
                    <w:pStyle w:val="Compact"/>
                    <w:jc w:val="center"/>
                  </w:pPr>
                  <w:r>
                    <w:t>5874</w:t>
                  </w:r>
                </w:p>
              </w:tc>
              <w:tc>
                <w:tcPr>
                  <w:tcW w:w="1980" w:type="dxa"/>
                </w:tcPr>
                <w:p w14:paraId="5D6881F6" w14:textId="77777777" w:rsidR="008055DE" w:rsidRDefault="00000000">
                  <w:pPr>
                    <w:pStyle w:val="Compact"/>
                    <w:jc w:val="center"/>
                  </w:pPr>
                  <w:r>
                    <w:t>379</w:t>
                  </w:r>
                </w:p>
              </w:tc>
              <w:tc>
                <w:tcPr>
                  <w:tcW w:w="1980" w:type="dxa"/>
                </w:tcPr>
                <w:p w14:paraId="5D6881F7" w14:textId="77777777" w:rsidR="008055DE" w:rsidRDefault="00000000">
                  <w:pPr>
                    <w:pStyle w:val="Compact"/>
                    <w:jc w:val="center"/>
                  </w:pPr>
                  <w:r>
                    <w:t>175</w:t>
                  </w:r>
                </w:p>
              </w:tc>
            </w:tr>
            <w:tr w:rsidR="008055DE" w14:paraId="5D6881FD" w14:textId="77777777">
              <w:tc>
                <w:tcPr>
                  <w:tcW w:w="1980" w:type="dxa"/>
                </w:tcPr>
                <w:p w14:paraId="5D6881F9" w14:textId="77777777" w:rsidR="008055DE" w:rsidRDefault="00000000">
                  <w:pPr>
                    <w:pStyle w:val="Compact"/>
                    <w:jc w:val="center"/>
                  </w:pPr>
                  <w:r>
                    <w:t>2003</w:t>
                  </w:r>
                </w:p>
              </w:tc>
              <w:tc>
                <w:tcPr>
                  <w:tcW w:w="1980" w:type="dxa"/>
                </w:tcPr>
                <w:p w14:paraId="5D6881FA" w14:textId="77777777" w:rsidR="008055DE" w:rsidRDefault="00000000">
                  <w:pPr>
                    <w:pStyle w:val="Compact"/>
                    <w:jc w:val="center"/>
                  </w:pPr>
                  <w:r>
                    <w:t>1798</w:t>
                  </w:r>
                </w:p>
              </w:tc>
              <w:tc>
                <w:tcPr>
                  <w:tcW w:w="1980" w:type="dxa"/>
                </w:tcPr>
                <w:p w14:paraId="5D6881FB" w14:textId="77777777" w:rsidR="008055DE" w:rsidRDefault="00000000">
                  <w:pPr>
                    <w:pStyle w:val="Compact"/>
                    <w:jc w:val="center"/>
                  </w:pPr>
                  <w:r>
                    <w:t>200</w:t>
                  </w:r>
                </w:p>
              </w:tc>
              <w:tc>
                <w:tcPr>
                  <w:tcW w:w="1980" w:type="dxa"/>
                </w:tcPr>
                <w:p w14:paraId="5D6881FC" w14:textId="77777777" w:rsidR="008055DE" w:rsidRDefault="00000000">
                  <w:pPr>
                    <w:pStyle w:val="Compact"/>
                    <w:jc w:val="center"/>
                  </w:pPr>
                  <w:r>
                    <w:t>99</w:t>
                  </w:r>
                </w:p>
              </w:tc>
            </w:tr>
            <w:tr w:rsidR="008055DE" w14:paraId="5D688202" w14:textId="77777777">
              <w:tc>
                <w:tcPr>
                  <w:tcW w:w="1980" w:type="dxa"/>
                </w:tcPr>
                <w:p w14:paraId="5D6881FE" w14:textId="77777777" w:rsidR="008055DE" w:rsidRDefault="00000000">
                  <w:pPr>
                    <w:pStyle w:val="Compact"/>
                    <w:jc w:val="center"/>
                  </w:pPr>
                  <w:r>
                    <w:t>2004</w:t>
                  </w:r>
                </w:p>
              </w:tc>
              <w:tc>
                <w:tcPr>
                  <w:tcW w:w="1980" w:type="dxa"/>
                </w:tcPr>
                <w:p w14:paraId="5D6881FF" w14:textId="77777777" w:rsidR="008055DE" w:rsidRDefault="00000000">
                  <w:pPr>
                    <w:pStyle w:val="Compact"/>
                    <w:jc w:val="center"/>
                  </w:pPr>
                  <w:r>
                    <w:t>5050</w:t>
                  </w:r>
                </w:p>
              </w:tc>
              <w:tc>
                <w:tcPr>
                  <w:tcW w:w="1980" w:type="dxa"/>
                </w:tcPr>
                <w:p w14:paraId="5D688200" w14:textId="77777777" w:rsidR="008055DE" w:rsidRDefault="00000000">
                  <w:pPr>
                    <w:pStyle w:val="Compact"/>
                    <w:jc w:val="center"/>
                  </w:pPr>
                  <w:r>
                    <w:t>296</w:t>
                  </w:r>
                </w:p>
              </w:tc>
              <w:tc>
                <w:tcPr>
                  <w:tcW w:w="1980" w:type="dxa"/>
                </w:tcPr>
                <w:p w14:paraId="5D688201" w14:textId="77777777" w:rsidR="008055DE" w:rsidRDefault="00000000">
                  <w:pPr>
                    <w:pStyle w:val="Compact"/>
                    <w:jc w:val="center"/>
                  </w:pPr>
                  <w:r>
                    <w:t>144</w:t>
                  </w:r>
                </w:p>
              </w:tc>
            </w:tr>
            <w:tr w:rsidR="008055DE" w14:paraId="5D688207" w14:textId="77777777">
              <w:tc>
                <w:tcPr>
                  <w:tcW w:w="1980" w:type="dxa"/>
                </w:tcPr>
                <w:p w14:paraId="5D688203" w14:textId="77777777" w:rsidR="008055DE" w:rsidRDefault="00000000">
                  <w:pPr>
                    <w:pStyle w:val="Compact"/>
                    <w:jc w:val="center"/>
                  </w:pPr>
                  <w:r>
                    <w:t>2005</w:t>
                  </w:r>
                </w:p>
              </w:tc>
              <w:tc>
                <w:tcPr>
                  <w:tcW w:w="1980" w:type="dxa"/>
                </w:tcPr>
                <w:p w14:paraId="5D688204" w14:textId="77777777" w:rsidR="008055DE" w:rsidRDefault="00000000">
                  <w:pPr>
                    <w:pStyle w:val="Compact"/>
                    <w:jc w:val="center"/>
                  </w:pPr>
                  <w:r>
                    <w:t>1851</w:t>
                  </w:r>
                </w:p>
              </w:tc>
              <w:tc>
                <w:tcPr>
                  <w:tcW w:w="1980" w:type="dxa"/>
                </w:tcPr>
                <w:p w14:paraId="5D688205" w14:textId="77777777" w:rsidR="008055DE" w:rsidRDefault="00000000">
                  <w:pPr>
                    <w:pStyle w:val="Compact"/>
                    <w:jc w:val="center"/>
                  </w:pPr>
                  <w:r>
                    <w:t>193</w:t>
                  </w:r>
                </w:p>
              </w:tc>
              <w:tc>
                <w:tcPr>
                  <w:tcW w:w="1980" w:type="dxa"/>
                </w:tcPr>
                <w:p w14:paraId="5D688206" w14:textId="77777777" w:rsidR="008055DE" w:rsidRDefault="00000000">
                  <w:pPr>
                    <w:pStyle w:val="Compact"/>
                    <w:jc w:val="center"/>
                  </w:pPr>
                  <w:r>
                    <w:t>86</w:t>
                  </w:r>
                </w:p>
              </w:tc>
            </w:tr>
            <w:tr w:rsidR="008055DE" w14:paraId="5D68820C" w14:textId="77777777">
              <w:tc>
                <w:tcPr>
                  <w:tcW w:w="1980" w:type="dxa"/>
                </w:tcPr>
                <w:p w14:paraId="5D688208" w14:textId="77777777" w:rsidR="008055DE" w:rsidRDefault="00000000">
                  <w:pPr>
                    <w:pStyle w:val="Compact"/>
                    <w:jc w:val="center"/>
                  </w:pPr>
                  <w:r>
                    <w:t>2006</w:t>
                  </w:r>
                </w:p>
              </w:tc>
              <w:tc>
                <w:tcPr>
                  <w:tcW w:w="1980" w:type="dxa"/>
                </w:tcPr>
                <w:p w14:paraId="5D688209" w14:textId="77777777" w:rsidR="008055DE" w:rsidRDefault="00000000">
                  <w:pPr>
                    <w:pStyle w:val="Compact"/>
                    <w:jc w:val="center"/>
                  </w:pPr>
                  <w:r>
                    <w:t>1596</w:t>
                  </w:r>
                </w:p>
              </w:tc>
              <w:tc>
                <w:tcPr>
                  <w:tcW w:w="1980" w:type="dxa"/>
                </w:tcPr>
                <w:p w14:paraId="5D68820A" w14:textId="77777777" w:rsidR="008055DE" w:rsidRDefault="00000000">
                  <w:pPr>
                    <w:pStyle w:val="Compact"/>
                    <w:jc w:val="center"/>
                  </w:pPr>
                  <w:r>
                    <w:t>198</w:t>
                  </w:r>
                </w:p>
              </w:tc>
              <w:tc>
                <w:tcPr>
                  <w:tcW w:w="1980" w:type="dxa"/>
                </w:tcPr>
                <w:p w14:paraId="5D68820B" w14:textId="77777777" w:rsidR="008055DE" w:rsidRDefault="00000000">
                  <w:pPr>
                    <w:pStyle w:val="Compact"/>
                    <w:jc w:val="center"/>
                  </w:pPr>
                  <w:r>
                    <w:t>74</w:t>
                  </w:r>
                </w:p>
              </w:tc>
            </w:tr>
            <w:tr w:rsidR="008055DE" w14:paraId="5D688211" w14:textId="77777777">
              <w:tc>
                <w:tcPr>
                  <w:tcW w:w="1980" w:type="dxa"/>
                </w:tcPr>
                <w:p w14:paraId="5D68820D" w14:textId="77777777" w:rsidR="008055DE" w:rsidRDefault="00000000">
                  <w:pPr>
                    <w:pStyle w:val="Compact"/>
                    <w:jc w:val="center"/>
                  </w:pPr>
                  <w:r>
                    <w:t>2007</w:t>
                  </w:r>
                </w:p>
              </w:tc>
              <w:tc>
                <w:tcPr>
                  <w:tcW w:w="1980" w:type="dxa"/>
                </w:tcPr>
                <w:p w14:paraId="5D68820E" w14:textId="77777777" w:rsidR="008055DE" w:rsidRDefault="00000000">
                  <w:pPr>
                    <w:pStyle w:val="Compact"/>
                    <w:jc w:val="center"/>
                  </w:pPr>
                  <w:r>
                    <w:t>207</w:t>
                  </w:r>
                </w:p>
              </w:tc>
              <w:tc>
                <w:tcPr>
                  <w:tcW w:w="1980" w:type="dxa"/>
                </w:tcPr>
                <w:p w14:paraId="5D68820F" w14:textId="77777777" w:rsidR="008055DE" w:rsidRDefault="00000000">
                  <w:pPr>
                    <w:pStyle w:val="Compact"/>
                    <w:jc w:val="center"/>
                  </w:pPr>
                  <w:r>
                    <w:t>9</w:t>
                  </w:r>
                </w:p>
              </w:tc>
              <w:tc>
                <w:tcPr>
                  <w:tcW w:w="1980" w:type="dxa"/>
                </w:tcPr>
                <w:p w14:paraId="5D688210" w14:textId="77777777" w:rsidR="008055DE" w:rsidRDefault="00000000">
                  <w:pPr>
                    <w:pStyle w:val="Compact"/>
                    <w:jc w:val="center"/>
                  </w:pPr>
                  <w:r>
                    <w:t>5</w:t>
                  </w:r>
                </w:p>
              </w:tc>
            </w:tr>
            <w:tr w:rsidR="008055DE" w14:paraId="5D688216" w14:textId="77777777">
              <w:tc>
                <w:tcPr>
                  <w:tcW w:w="1980" w:type="dxa"/>
                </w:tcPr>
                <w:p w14:paraId="5D688212" w14:textId="77777777" w:rsidR="008055DE" w:rsidRDefault="00000000">
                  <w:pPr>
                    <w:pStyle w:val="Compact"/>
                    <w:jc w:val="center"/>
                  </w:pPr>
                  <w:r>
                    <w:t>2008</w:t>
                  </w:r>
                </w:p>
              </w:tc>
              <w:tc>
                <w:tcPr>
                  <w:tcW w:w="1980" w:type="dxa"/>
                </w:tcPr>
                <w:p w14:paraId="5D688213" w14:textId="77777777" w:rsidR="008055DE" w:rsidRDefault="00000000">
                  <w:pPr>
                    <w:pStyle w:val="Compact"/>
                    <w:jc w:val="center"/>
                  </w:pPr>
                  <w:r>
                    <w:t>335</w:t>
                  </w:r>
                </w:p>
              </w:tc>
              <w:tc>
                <w:tcPr>
                  <w:tcW w:w="1980" w:type="dxa"/>
                </w:tcPr>
                <w:p w14:paraId="5D688214" w14:textId="77777777" w:rsidR="008055DE" w:rsidRDefault="00000000">
                  <w:pPr>
                    <w:pStyle w:val="Compact"/>
                    <w:jc w:val="center"/>
                  </w:pPr>
                  <w:r>
                    <w:t>140</w:t>
                  </w:r>
                </w:p>
              </w:tc>
              <w:tc>
                <w:tcPr>
                  <w:tcW w:w="1980" w:type="dxa"/>
                </w:tcPr>
                <w:p w14:paraId="5D688215" w14:textId="77777777" w:rsidR="008055DE" w:rsidRDefault="00000000">
                  <w:pPr>
                    <w:pStyle w:val="Compact"/>
                    <w:jc w:val="center"/>
                  </w:pPr>
                  <w:r>
                    <w:t>60</w:t>
                  </w:r>
                </w:p>
              </w:tc>
            </w:tr>
            <w:bookmarkEnd w:id="9"/>
          </w:tbl>
          <w:p w14:paraId="5D688217" w14:textId="77777777" w:rsidR="008055DE" w:rsidRDefault="008055DE"/>
        </w:tc>
      </w:tr>
    </w:tbl>
    <w:p w14:paraId="5D688219" w14:textId="77777777" w:rsidR="008055DE"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576"/>
      </w:tblGrid>
      <w:tr w:rsidR="008055DE" w14:paraId="5D688235" w14:textId="77777777">
        <w:tc>
          <w:tcPr>
            <w:tcW w:w="7920" w:type="dxa"/>
          </w:tcPr>
          <w:p w14:paraId="5D68821A" w14:textId="77777777" w:rsidR="008055DE" w:rsidRDefault="00000000">
            <w:pPr>
              <w:pStyle w:val="ImageCaption"/>
              <w:spacing w:before="200"/>
              <w:jc w:val="left"/>
            </w:pPr>
            <w:bookmarkStart w:id="10" w:name="tbl-odds1"/>
            <w:r>
              <w:t>TABLE 2. Odds ratios for all fixed effects of the Bayesian generalised linear model testing temporal changes in the breeding status of Atlantic puffins (</w:t>
            </w:r>
            <w:r>
              <w:rPr>
                <w:iCs/>
              </w:rPr>
              <w:t>Fratercula arctica</w:t>
            </w:r>
            <w:r>
              <w:t>) harvest in Føroyar. The model included breeding status (0 = never bred, 1 = has bred) as response variable, and year, brood patch (0 = absent, 1 = present), and their interaction as covariates.</w:t>
            </w:r>
          </w:p>
          <w:tbl>
            <w:tblPr>
              <w:tblStyle w:val="Table"/>
              <w:tblW w:w="0" w:type="auto"/>
              <w:tblLook w:val="0020" w:firstRow="1" w:lastRow="0" w:firstColumn="0" w:lastColumn="0" w:noHBand="0" w:noVBand="0"/>
            </w:tblPr>
            <w:tblGrid>
              <w:gridCol w:w="1980"/>
              <w:gridCol w:w="1980"/>
              <w:gridCol w:w="1980"/>
              <w:gridCol w:w="1980"/>
            </w:tblGrid>
            <w:tr w:rsidR="008055DE" w14:paraId="5D68821F" w14:textId="77777777">
              <w:trPr>
                <w:tblHeader/>
              </w:trPr>
              <w:tc>
                <w:tcPr>
                  <w:tcW w:w="1980" w:type="dxa"/>
                </w:tcPr>
                <w:p w14:paraId="5D68821B" w14:textId="77777777" w:rsidR="008055DE" w:rsidRDefault="008055DE">
                  <w:pPr>
                    <w:pStyle w:val="Compact"/>
                  </w:pPr>
                </w:p>
              </w:tc>
              <w:tc>
                <w:tcPr>
                  <w:tcW w:w="1980" w:type="dxa"/>
                </w:tcPr>
                <w:p w14:paraId="5D68821C" w14:textId="77777777" w:rsidR="008055DE" w:rsidRDefault="00000000">
                  <w:pPr>
                    <w:pStyle w:val="Compact"/>
                    <w:jc w:val="center"/>
                  </w:pPr>
                  <w:r>
                    <w:t>Estimate</w:t>
                  </w:r>
                </w:p>
              </w:tc>
              <w:tc>
                <w:tcPr>
                  <w:tcW w:w="1980" w:type="dxa"/>
                </w:tcPr>
                <w:p w14:paraId="5D68821D" w14:textId="77777777" w:rsidR="008055DE" w:rsidRDefault="00000000">
                  <w:pPr>
                    <w:pStyle w:val="Compact"/>
                    <w:jc w:val="center"/>
                  </w:pPr>
                  <w:r>
                    <w:t>Lower 95% CI</w:t>
                  </w:r>
                </w:p>
              </w:tc>
              <w:tc>
                <w:tcPr>
                  <w:tcW w:w="1980" w:type="dxa"/>
                </w:tcPr>
                <w:p w14:paraId="5D68821E" w14:textId="77777777" w:rsidR="008055DE" w:rsidRDefault="00000000">
                  <w:pPr>
                    <w:pStyle w:val="Compact"/>
                    <w:jc w:val="center"/>
                  </w:pPr>
                  <w:r>
                    <w:t>Upper 95% CI</w:t>
                  </w:r>
                </w:p>
              </w:tc>
            </w:tr>
            <w:tr w:rsidR="008055DE" w14:paraId="5D688224" w14:textId="77777777">
              <w:tc>
                <w:tcPr>
                  <w:tcW w:w="1980" w:type="dxa"/>
                </w:tcPr>
                <w:p w14:paraId="5D688220" w14:textId="77777777" w:rsidR="008055DE" w:rsidRDefault="00000000">
                  <w:pPr>
                    <w:pStyle w:val="Compact"/>
                    <w:jc w:val="center"/>
                  </w:pPr>
                  <w:r>
                    <w:t>Intercept</w:t>
                  </w:r>
                </w:p>
              </w:tc>
              <w:tc>
                <w:tcPr>
                  <w:tcW w:w="1980" w:type="dxa"/>
                </w:tcPr>
                <w:p w14:paraId="5D688221" w14:textId="77777777" w:rsidR="008055DE" w:rsidRDefault="00000000">
                  <w:pPr>
                    <w:pStyle w:val="Compact"/>
                    <w:jc w:val="center"/>
                  </w:pPr>
                  <w:r>
                    <w:t>0.19</w:t>
                  </w:r>
                </w:p>
              </w:tc>
              <w:tc>
                <w:tcPr>
                  <w:tcW w:w="1980" w:type="dxa"/>
                </w:tcPr>
                <w:p w14:paraId="5D688222" w14:textId="77777777" w:rsidR="008055DE" w:rsidRDefault="00000000">
                  <w:pPr>
                    <w:pStyle w:val="Compact"/>
                    <w:jc w:val="center"/>
                  </w:pPr>
                  <w:r>
                    <w:t>0.16</w:t>
                  </w:r>
                </w:p>
              </w:tc>
              <w:tc>
                <w:tcPr>
                  <w:tcW w:w="1980" w:type="dxa"/>
                </w:tcPr>
                <w:p w14:paraId="5D688223" w14:textId="77777777" w:rsidR="008055DE" w:rsidRDefault="00000000">
                  <w:pPr>
                    <w:pStyle w:val="Compact"/>
                    <w:jc w:val="center"/>
                  </w:pPr>
                  <w:r>
                    <w:t>0.21</w:t>
                  </w:r>
                </w:p>
              </w:tc>
            </w:tr>
            <w:tr w:rsidR="008055DE" w14:paraId="5D688229" w14:textId="77777777">
              <w:tc>
                <w:tcPr>
                  <w:tcW w:w="1980" w:type="dxa"/>
                </w:tcPr>
                <w:p w14:paraId="5D688225" w14:textId="77777777" w:rsidR="008055DE" w:rsidRDefault="00000000">
                  <w:pPr>
                    <w:pStyle w:val="Compact"/>
                    <w:jc w:val="center"/>
                  </w:pPr>
                  <w:r>
                    <w:t>Year (in decades)</w:t>
                  </w:r>
                </w:p>
              </w:tc>
              <w:tc>
                <w:tcPr>
                  <w:tcW w:w="1980" w:type="dxa"/>
                </w:tcPr>
                <w:p w14:paraId="5D688226" w14:textId="77777777" w:rsidR="008055DE" w:rsidRDefault="00000000">
                  <w:pPr>
                    <w:pStyle w:val="Compact"/>
                    <w:jc w:val="center"/>
                  </w:pPr>
                  <w:r>
                    <w:t>5.55</w:t>
                  </w:r>
                </w:p>
              </w:tc>
              <w:tc>
                <w:tcPr>
                  <w:tcW w:w="1980" w:type="dxa"/>
                </w:tcPr>
                <w:p w14:paraId="5D688227" w14:textId="77777777" w:rsidR="008055DE" w:rsidRDefault="00000000">
                  <w:pPr>
                    <w:pStyle w:val="Compact"/>
                    <w:jc w:val="center"/>
                  </w:pPr>
                  <w:r>
                    <w:t>3.88</w:t>
                  </w:r>
                </w:p>
              </w:tc>
              <w:tc>
                <w:tcPr>
                  <w:tcW w:w="1980" w:type="dxa"/>
                </w:tcPr>
                <w:p w14:paraId="5D688228" w14:textId="77777777" w:rsidR="008055DE" w:rsidRDefault="00000000">
                  <w:pPr>
                    <w:pStyle w:val="Compact"/>
                    <w:jc w:val="center"/>
                  </w:pPr>
                  <w:r>
                    <w:t>7.99</w:t>
                  </w:r>
                </w:p>
              </w:tc>
            </w:tr>
            <w:tr w:rsidR="008055DE" w14:paraId="5D68822E" w14:textId="77777777">
              <w:tc>
                <w:tcPr>
                  <w:tcW w:w="1980" w:type="dxa"/>
                </w:tcPr>
                <w:p w14:paraId="5D68822A" w14:textId="77777777" w:rsidR="008055DE" w:rsidRDefault="00000000">
                  <w:pPr>
                    <w:pStyle w:val="Compact"/>
                    <w:jc w:val="center"/>
                  </w:pPr>
                  <w:r>
                    <w:t>Brood patch (BP)</w:t>
                  </w:r>
                </w:p>
              </w:tc>
              <w:tc>
                <w:tcPr>
                  <w:tcW w:w="1980" w:type="dxa"/>
                </w:tcPr>
                <w:p w14:paraId="5D68822B" w14:textId="77777777" w:rsidR="008055DE" w:rsidRDefault="00000000">
                  <w:pPr>
                    <w:pStyle w:val="Compact"/>
                    <w:jc w:val="center"/>
                  </w:pPr>
                  <w:r>
                    <w:t>24.85</w:t>
                  </w:r>
                </w:p>
              </w:tc>
              <w:tc>
                <w:tcPr>
                  <w:tcW w:w="1980" w:type="dxa"/>
                </w:tcPr>
                <w:p w14:paraId="5D68822C" w14:textId="77777777" w:rsidR="008055DE" w:rsidRDefault="00000000">
                  <w:pPr>
                    <w:pStyle w:val="Compact"/>
                    <w:jc w:val="center"/>
                  </w:pPr>
                  <w:r>
                    <w:t>16.99</w:t>
                  </w:r>
                </w:p>
              </w:tc>
              <w:tc>
                <w:tcPr>
                  <w:tcW w:w="1980" w:type="dxa"/>
                </w:tcPr>
                <w:p w14:paraId="5D68822D" w14:textId="77777777" w:rsidR="008055DE" w:rsidRDefault="00000000">
                  <w:pPr>
                    <w:pStyle w:val="Compact"/>
                    <w:jc w:val="center"/>
                  </w:pPr>
                  <w:r>
                    <w:t>37.13</w:t>
                  </w:r>
                </w:p>
              </w:tc>
            </w:tr>
            <w:tr w:rsidR="008055DE" w14:paraId="5D688233" w14:textId="77777777">
              <w:tc>
                <w:tcPr>
                  <w:tcW w:w="1980" w:type="dxa"/>
                </w:tcPr>
                <w:p w14:paraId="5D68822F" w14:textId="77777777" w:rsidR="008055DE" w:rsidRDefault="00000000">
                  <w:pPr>
                    <w:pStyle w:val="Compact"/>
                    <w:jc w:val="center"/>
                  </w:pPr>
                  <w:r>
                    <w:t>Year: BP</w:t>
                  </w:r>
                </w:p>
              </w:tc>
              <w:tc>
                <w:tcPr>
                  <w:tcW w:w="1980" w:type="dxa"/>
                </w:tcPr>
                <w:p w14:paraId="5D688230" w14:textId="77777777" w:rsidR="008055DE" w:rsidRDefault="00000000">
                  <w:pPr>
                    <w:pStyle w:val="Compact"/>
                    <w:jc w:val="center"/>
                  </w:pPr>
                  <w:r>
                    <w:t>0.46</w:t>
                  </w:r>
                </w:p>
              </w:tc>
              <w:tc>
                <w:tcPr>
                  <w:tcW w:w="1980" w:type="dxa"/>
                </w:tcPr>
                <w:p w14:paraId="5D688231" w14:textId="77777777" w:rsidR="008055DE" w:rsidRDefault="00000000">
                  <w:pPr>
                    <w:pStyle w:val="Compact"/>
                    <w:jc w:val="center"/>
                  </w:pPr>
                  <w:r>
                    <w:t>0.17</w:t>
                  </w:r>
                </w:p>
              </w:tc>
              <w:tc>
                <w:tcPr>
                  <w:tcW w:w="1980" w:type="dxa"/>
                </w:tcPr>
                <w:p w14:paraId="5D688232" w14:textId="77777777" w:rsidR="008055DE" w:rsidRDefault="00000000">
                  <w:pPr>
                    <w:pStyle w:val="Compact"/>
                    <w:jc w:val="center"/>
                  </w:pPr>
                  <w:r>
                    <w:t>1.32</w:t>
                  </w:r>
                </w:p>
              </w:tc>
            </w:tr>
            <w:bookmarkEnd w:id="10"/>
          </w:tbl>
          <w:p w14:paraId="5D688234" w14:textId="77777777" w:rsidR="008055DE" w:rsidRDefault="008055DE"/>
        </w:tc>
      </w:tr>
    </w:tbl>
    <w:p w14:paraId="5D688236" w14:textId="77777777" w:rsidR="008055DE" w:rsidRDefault="00000000">
      <w:pPr>
        <w:pStyle w:val="Heading1"/>
      </w:pPr>
      <w:bookmarkStart w:id="11" w:name="references"/>
      <w:bookmarkEnd w:id="4"/>
      <w:r>
        <w:t>REFERENCES</w:t>
      </w:r>
    </w:p>
    <w:p w14:paraId="5D688237" w14:textId="77777777" w:rsidR="008055DE" w:rsidRDefault="00000000">
      <w:pPr>
        <w:pStyle w:val="Bibliography"/>
      </w:pPr>
      <w:bookmarkStart w:id="12" w:name="ref-ashcroftSurvivalRatesBreeding1979"/>
      <w:bookmarkStart w:id="13" w:name="refs"/>
      <w:r>
        <w:t xml:space="preserve">Ashcroft, R. E. (1979). Survival Rates and Breeding Biology of Puffins on Skomer Island, Wales. </w:t>
      </w:r>
      <w:r>
        <w:rPr>
          <w:i/>
          <w:iCs/>
        </w:rPr>
        <w:t>Ornis Scandinavica</w:t>
      </w:r>
      <w:r>
        <w:t xml:space="preserve">, </w:t>
      </w:r>
      <w:r>
        <w:rPr>
          <w:i/>
          <w:iCs/>
        </w:rPr>
        <w:t>10</w:t>
      </w:r>
      <w:r>
        <w:t xml:space="preserve">(1), 100. </w:t>
      </w:r>
      <w:hyperlink r:id="rId9">
        <w:r>
          <w:rPr>
            <w:rStyle w:val="Hyperlink"/>
          </w:rPr>
          <w:t>https://doi.org/10.2307/3676349</w:t>
        </w:r>
      </w:hyperlink>
    </w:p>
    <w:p w14:paraId="5D688238" w14:textId="77777777" w:rsidR="008055DE" w:rsidRDefault="00000000">
      <w:pPr>
        <w:pStyle w:val="Bibliography"/>
      </w:pPr>
      <w:bookmarkStart w:id="14" w:name="ref-ausemsVariationFoodAvailability2026"/>
      <w:bookmarkEnd w:id="12"/>
      <w:r>
        <w:t xml:space="preserve">Ausems, A. N. M. A., Jakubas, D., Jensen, J., &amp; Wojczulanis–Jakubas, K. (2026). Variation in food availability affects the population age structure of Atlantic puffins </w:t>
      </w:r>
      <w:r>
        <w:rPr>
          <w:i/>
          <w:iCs/>
        </w:rPr>
        <w:t>Fratercula Arctica</w:t>
      </w:r>
      <w:r>
        <w:t xml:space="preserve"> in the Faroe Islands. </w:t>
      </w:r>
      <w:r>
        <w:rPr>
          <w:i/>
          <w:iCs/>
        </w:rPr>
        <w:t>Wildlife Biology</w:t>
      </w:r>
      <w:r>
        <w:t xml:space="preserve">, e01546. </w:t>
      </w:r>
      <w:hyperlink r:id="rId10">
        <w:r>
          <w:rPr>
            <w:rStyle w:val="Hyperlink"/>
          </w:rPr>
          <w:t>https://doi.org/10.1002/wlb3.01546</w:t>
        </w:r>
      </w:hyperlink>
    </w:p>
    <w:p w14:paraId="5D688239" w14:textId="77777777" w:rsidR="008055DE" w:rsidRDefault="00000000">
      <w:pPr>
        <w:pStyle w:val="Bibliography"/>
      </w:pPr>
      <w:bookmarkStart w:id="15" w:name="ref-baileyIncubationPatchPasserine1952"/>
      <w:bookmarkEnd w:id="14"/>
      <w:r>
        <w:t xml:space="preserve">Bailey, R. E. (1952). The Incubation Patch of Passerine Birds. </w:t>
      </w:r>
      <w:r>
        <w:rPr>
          <w:i/>
          <w:iCs/>
        </w:rPr>
        <w:t>The Condor</w:t>
      </w:r>
      <w:r>
        <w:t xml:space="preserve">, </w:t>
      </w:r>
      <w:r>
        <w:rPr>
          <w:i/>
          <w:iCs/>
        </w:rPr>
        <w:t>54</w:t>
      </w:r>
      <w:r>
        <w:t xml:space="preserve">(3), 121–136. </w:t>
      </w:r>
      <w:hyperlink r:id="rId11">
        <w:r>
          <w:rPr>
            <w:rStyle w:val="Hyperlink"/>
          </w:rPr>
          <w:t>https://doi.org/10.2307/1365062</w:t>
        </w:r>
      </w:hyperlink>
    </w:p>
    <w:p w14:paraId="5D68823A" w14:textId="77777777" w:rsidR="008055DE" w:rsidRDefault="00000000">
      <w:pPr>
        <w:pStyle w:val="Bibliography"/>
      </w:pPr>
      <w:bookmarkStart w:id="16" w:name="X6fe9fda70bed21ba65d61585bcf1d825af477bf"/>
      <w:bookmarkEnd w:id="15"/>
      <w:r>
        <w:lastRenderedPageBreak/>
        <w:t xml:space="preserve">BirdLife International. (2018). </w:t>
      </w:r>
      <w:r>
        <w:rPr>
          <w:i/>
          <w:iCs/>
        </w:rPr>
        <w:t>Fratercula Arctica. The IUCN Red List of threatened species. E.T22694927A132581443</w:t>
      </w:r>
      <w:r>
        <w:t xml:space="preserve">. </w:t>
      </w:r>
      <w:hyperlink r:id="rId12">
        <w:r>
          <w:rPr>
            <w:rStyle w:val="Hyperlink"/>
          </w:rPr>
          <w:t>https://doi.org/10.2305/IUCN.UK.2018-2.RLTS.T22694927A132581443.en</w:t>
        </w:r>
      </w:hyperlink>
    </w:p>
    <w:p w14:paraId="5D68823B" w14:textId="77777777" w:rsidR="008055DE" w:rsidRDefault="00000000">
      <w:pPr>
        <w:pStyle w:val="Bibliography"/>
      </w:pPr>
      <w:bookmarkStart w:id="17" w:name="X2251d75557b56d22c3e2c47990efce73593f512"/>
      <w:bookmarkEnd w:id="16"/>
      <w:r>
        <w:t xml:space="preserve">BirdLife International. (2021). </w:t>
      </w:r>
      <w:r>
        <w:rPr>
          <w:i/>
          <w:iCs/>
        </w:rPr>
        <w:t>Species factsheet: Fratercula Arctica</w:t>
      </w:r>
      <w:r>
        <w:t xml:space="preserve">. </w:t>
      </w:r>
      <w:hyperlink r:id="rId13">
        <w:r>
          <w:rPr>
            <w:rStyle w:val="Hyperlink"/>
          </w:rPr>
          <w:t>https://datazone.birdlife.org/species/factsheet/atlantic-puffin-fratercula-arctica</w:t>
        </w:r>
      </w:hyperlink>
    </w:p>
    <w:p w14:paraId="5D68823C" w14:textId="77777777" w:rsidR="008055DE" w:rsidRDefault="00000000">
      <w:pPr>
        <w:pStyle w:val="Bibliography"/>
      </w:pPr>
      <w:bookmarkStart w:id="18" w:name="ref-burknerBrmsPackageBayesian2017"/>
      <w:bookmarkEnd w:id="17"/>
      <w:r>
        <w:t xml:space="preserve">Bürkner, P.-C. (2017). brms: An R package for Bayesian multilevel models using Stan. </w:t>
      </w:r>
      <w:r>
        <w:rPr>
          <w:i/>
          <w:iCs/>
        </w:rPr>
        <w:t>Journal of Statistical Software</w:t>
      </w:r>
      <w:r>
        <w:t xml:space="preserve">, </w:t>
      </w:r>
      <w:r>
        <w:rPr>
          <w:i/>
          <w:iCs/>
        </w:rPr>
        <w:t>80</w:t>
      </w:r>
      <w:r>
        <w:t xml:space="preserve">(1), 1–28. </w:t>
      </w:r>
      <w:hyperlink r:id="rId14">
        <w:r>
          <w:rPr>
            <w:rStyle w:val="Hyperlink"/>
          </w:rPr>
          <w:t>https://doi.org/10.18637/jss.v080.i01</w:t>
        </w:r>
      </w:hyperlink>
    </w:p>
    <w:p w14:paraId="5D68823D" w14:textId="77777777" w:rsidR="008055DE" w:rsidRDefault="00000000">
      <w:pPr>
        <w:pStyle w:val="Bibliography"/>
      </w:pPr>
      <w:bookmarkStart w:id="19" w:name="ref-burrLaterHigherLatitudes2016"/>
      <w:bookmarkEnd w:id="18"/>
      <w:r>
        <w:t xml:space="preserve">Burr, Z. M., Varpe, Ø., Anker‐Nilssen, T., Erikstad, K. E., Descamps, S., Barrett, R. T., Bech, C., Christensen‐Dalsgaard, S., Lorentsen, S., Moe, B., Reiertsen, T. K., &amp; Strøm, H. (2016). Later at higher latitudes: Large‐scale variability in seabird breeding timing and synchronicity. </w:t>
      </w:r>
      <w:r>
        <w:rPr>
          <w:i/>
          <w:iCs/>
        </w:rPr>
        <w:t>Ecosphere</w:t>
      </w:r>
      <w:r>
        <w:t xml:space="preserve">, </w:t>
      </w:r>
      <w:r>
        <w:rPr>
          <w:i/>
          <w:iCs/>
        </w:rPr>
        <w:t>7</w:t>
      </w:r>
      <w:r>
        <w:t xml:space="preserve">(5), e01283. </w:t>
      </w:r>
      <w:hyperlink r:id="rId15">
        <w:r>
          <w:rPr>
            <w:rStyle w:val="Hyperlink"/>
          </w:rPr>
          <w:t>https://doi.org/10.1002/ecs2.1283</w:t>
        </w:r>
      </w:hyperlink>
    </w:p>
    <w:p w14:paraId="5D68823E" w14:textId="77777777" w:rsidR="008055DE" w:rsidRDefault="00000000">
      <w:pPr>
        <w:pStyle w:val="Bibliography"/>
      </w:pPr>
      <w:bookmarkStart w:id="20" w:name="ref-diasThreatsSeabirdsGlobal2019"/>
      <w:bookmarkEnd w:id="19"/>
      <w:r>
        <w:t xml:space="preserve">Dias, M. P., Martin, R., Pearmain, E. J., Burfield, I. J., Small, C., Phillips, R. A., Yates, O., Lascelles, B., Borboroglu, P. G., &amp; Croxall, J. P. (2019). Threats to seabirds: A global assessment. </w:t>
      </w:r>
      <w:r>
        <w:rPr>
          <w:i/>
          <w:iCs/>
        </w:rPr>
        <w:t>Biological Conservation</w:t>
      </w:r>
      <w:r>
        <w:t xml:space="preserve">, </w:t>
      </w:r>
      <w:r>
        <w:rPr>
          <w:i/>
          <w:iCs/>
        </w:rPr>
        <w:t>237</w:t>
      </w:r>
      <w:r>
        <w:t xml:space="preserve">, 525–537. </w:t>
      </w:r>
      <w:hyperlink r:id="rId16">
        <w:r>
          <w:rPr>
            <w:rStyle w:val="Hyperlink"/>
          </w:rPr>
          <w:t>https://doi.org/10.1016/j.biocon.2019.06.033</w:t>
        </w:r>
      </w:hyperlink>
    </w:p>
    <w:p w14:paraId="5D68823F" w14:textId="77777777" w:rsidR="008055DE" w:rsidRDefault="00000000">
      <w:pPr>
        <w:pStyle w:val="Bibliography"/>
      </w:pPr>
      <w:bookmarkStart w:id="21" w:name="ref-dohertyTestingLifeHistory2004"/>
      <w:bookmarkEnd w:id="20"/>
      <w:r>
        <w:t xml:space="preserve">Doherty, P. F., Jr., Schreiber, E. A., Nichols, J. D., Hines, J. E., Link, W. A., Schenk, G. A., &amp; Schreiber, R. W. (2004). Testing life history predictions in a long-lived seabird: A population matrix approach with improved parameter estimation. </w:t>
      </w:r>
      <w:r>
        <w:rPr>
          <w:i/>
          <w:iCs/>
        </w:rPr>
        <w:t>Oikos</w:t>
      </w:r>
      <w:r>
        <w:t xml:space="preserve">, </w:t>
      </w:r>
      <w:r>
        <w:rPr>
          <w:i/>
          <w:iCs/>
        </w:rPr>
        <w:t>105</w:t>
      </w:r>
      <w:r>
        <w:t xml:space="preserve">(3), 606–618. </w:t>
      </w:r>
      <w:hyperlink r:id="rId17">
        <w:r>
          <w:rPr>
            <w:rStyle w:val="Hyperlink"/>
          </w:rPr>
          <w:t>https://doi.org/10.1111/j.0030-1299.2004.13119.x</w:t>
        </w:r>
      </w:hyperlink>
    </w:p>
    <w:p w14:paraId="5D688240" w14:textId="77777777" w:rsidR="008055DE" w:rsidRDefault="00000000">
      <w:pPr>
        <w:pStyle w:val="Bibliography"/>
      </w:pPr>
      <w:bookmarkStart w:id="22" w:name="ref-durantRegimeShiftsBreeding2004"/>
      <w:bookmarkEnd w:id="21"/>
      <w:r>
        <w:t xml:space="preserve">Durant, J. M., Anker-Nilssen, T., Hjermann, D. Ø., &amp; Stenseth, N. Chr. (2004). Regime shifts in the breeding of an Atlantic puffin population. </w:t>
      </w:r>
      <w:r>
        <w:rPr>
          <w:i/>
          <w:iCs/>
        </w:rPr>
        <w:t>Ecology Letters</w:t>
      </w:r>
      <w:r>
        <w:t xml:space="preserve">, </w:t>
      </w:r>
      <w:r>
        <w:rPr>
          <w:i/>
          <w:iCs/>
        </w:rPr>
        <w:t>7</w:t>
      </w:r>
      <w:r>
        <w:t xml:space="preserve">(5), 388–394. </w:t>
      </w:r>
      <w:hyperlink r:id="rId18">
        <w:r>
          <w:rPr>
            <w:rStyle w:val="Hyperlink"/>
          </w:rPr>
          <w:t>https://doi.org/10.1111/j.1461-0248.2004.00588.x</w:t>
        </w:r>
      </w:hyperlink>
    </w:p>
    <w:p w14:paraId="5D688241" w14:textId="77777777" w:rsidR="008055DE" w:rsidRDefault="00000000">
      <w:pPr>
        <w:pStyle w:val="Bibliography"/>
      </w:pPr>
      <w:bookmarkStart w:id="23" w:name="ref-fayetLocalPreyShortages2021"/>
      <w:bookmarkEnd w:id="22"/>
      <w:r>
        <w:lastRenderedPageBreak/>
        <w:t xml:space="preserve">Fayet, A. L., Clucas, G. V., Anker-Nilssen, T., Syposz, M., &amp; Hansen, E. S. (2021). Local prey shortages drive foraging costs and breeding success in a declining seabird, the Atlantic puffin. </w:t>
      </w:r>
      <w:r>
        <w:rPr>
          <w:i/>
          <w:iCs/>
        </w:rPr>
        <w:t>Journal of Animal Ecology</w:t>
      </w:r>
      <w:r>
        <w:t xml:space="preserve">, </w:t>
      </w:r>
      <w:r>
        <w:rPr>
          <w:i/>
          <w:iCs/>
        </w:rPr>
        <w:t>90</w:t>
      </w:r>
      <w:r>
        <w:t>, 1152–1164.</w:t>
      </w:r>
    </w:p>
    <w:p w14:paraId="5D688242" w14:textId="77777777" w:rsidR="008055DE" w:rsidRDefault="00000000">
      <w:pPr>
        <w:pStyle w:val="Bibliography"/>
      </w:pPr>
      <w:bookmarkStart w:id="24" w:name="X402cb5e1a4e69ff49497d0188bad825f79b15d6"/>
      <w:bookmarkEnd w:id="23"/>
      <w:r>
        <w:t xml:space="preserve">Gabry, J., Simpson, D., Vehtari, A., Betancourt, M., &amp; Gelman, A. (2019). Visualization in Bayesian Workflow. </w:t>
      </w:r>
      <w:r>
        <w:rPr>
          <w:i/>
          <w:iCs/>
        </w:rPr>
        <w:t>Journal of the Royal Statistical Society Series A: Statistics in Society</w:t>
      </w:r>
      <w:r>
        <w:t xml:space="preserve">, </w:t>
      </w:r>
      <w:r>
        <w:rPr>
          <w:i/>
          <w:iCs/>
        </w:rPr>
        <w:t>182</w:t>
      </w:r>
      <w:r>
        <w:t xml:space="preserve">(2), 389–402. </w:t>
      </w:r>
      <w:hyperlink r:id="rId19">
        <w:r>
          <w:rPr>
            <w:rStyle w:val="Hyperlink"/>
          </w:rPr>
          <w:t>https://doi.org/10.1111/rssa.12378</w:t>
        </w:r>
      </w:hyperlink>
    </w:p>
    <w:p w14:paraId="5D688243" w14:textId="77777777" w:rsidR="008055DE" w:rsidRDefault="00000000">
      <w:pPr>
        <w:pStyle w:val="Bibliography"/>
      </w:pPr>
      <w:bookmarkStart w:id="25" w:name="X33c5e51ec6e1feb638e31c81b30fec3bad61a46"/>
      <w:bookmarkEnd w:id="24"/>
      <w:r>
        <w:t xml:space="preserve">Gelman, A., Meng, X.-L., &amp; Stern, H. (1996). Posterior predictive assessment of model fitness via realized discrepancies. </w:t>
      </w:r>
      <w:r>
        <w:rPr>
          <w:i/>
          <w:iCs/>
        </w:rPr>
        <w:t>Statistica Sinica</w:t>
      </w:r>
      <w:r>
        <w:t xml:space="preserve">, </w:t>
      </w:r>
      <w:r>
        <w:rPr>
          <w:i/>
          <w:iCs/>
        </w:rPr>
        <w:t>6</w:t>
      </w:r>
      <w:r>
        <w:t xml:space="preserve">(4), 733–807. </w:t>
      </w:r>
      <w:hyperlink r:id="rId20">
        <w:r>
          <w:rPr>
            <w:rStyle w:val="Hyperlink"/>
          </w:rPr>
          <w:t>https://www3.stat.sinica.edu.tw/statistica/j6n4/j6n41/j6n41.htm</w:t>
        </w:r>
      </w:hyperlink>
    </w:p>
    <w:p w14:paraId="5D688244" w14:textId="77777777" w:rsidR="008055DE" w:rsidRDefault="00000000">
      <w:pPr>
        <w:pStyle w:val="Bibliography"/>
      </w:pPr>
      <w:bookmarkStart w:id="26" w:name="Xd2c1001e50c6a03f5980b48bf021065e127b4b3"/>
      <w:bookmarkEnd w:id="25"/>
      <w:r>
        <w:t xml:space="preserve">Hammer, S., Madsen, J., Jensen, J.-K., Pedersen, K., &amp; Bloch, D. (2014). </w:t>
      </w:r>
      <w:r>
        <w:rPr>
          <w:i/>
          <w:iCs/>
        </w:rPr>
        <w:t>Færøsk Trækfugleatlas – the Faroese bird migration atlas</w:t>
      </w:r>
      <w:r>
        <w:t xml:space="preserve"> (p. 177). Fróðskapur, Faroe University Press.</w:t>
      </w:r>
    </w:p>
    <w:p w14:paraId="5D688245" w14:textId="77777777" w:rsidR="008055DE" w:rsidRDefault="00000000">
      <w:pPr>
        <w:pStyle w:val="Bibliography"/>
      </w:pPr>
      <w:bookmarkStart w:id="27" w:name="X686eab3f81361263a84b2098b98864d463c743b"/>
      <w:bookmarkEnd w:id="26"/>
      <w:r>
        <w:t xml:space="preserve">Jenouvrier, S., Barbraud, C., Cazelles, B., &amp; Weimerskirch, H. (2005). Modelling population dynamics of seabirds: Importance of the effects of climate fluctuations on breeding proportions. </w:t>
      </w:r>
      <w:r>
        <w:rPr>
          <w:i/>
          <w:iCs/>
        </w:rPr>
        <w:t>Oikos</w:t>
      </w:r>
      <w:r>
        <w:t xml:space="preserve">, </w:t>
      </w:r>
      <w:r>
        <w:rPr>
          <w:i/>
          <w:iCs/>
        </w:rPr>
        <w:t>108</w:t>
      </w:r>
      <w:r>
        <w:t xml:space="preserve">(3), 511–522. </w:t>
      </w:r>
      <w:hyperlink r:id="rId21">
        <w:r>
          <w:rPr>
            <w:rStyle w:val="Hyperlink"/>
          </w:rPr>
          <w:t>https://doi.org/10.1111/j.0030-1299.2005.13351.x</w:t>
        </w:r>
      </w:hyperlink>
    </w:p>
    <w:p w14:paraId="5D688246" w14:textId="77777777" w:rsidR="008055DE" w:rsidRDefault="00000000">
      <w:pPr>
        <w:pStyle w:val="Bibliography"/>
      </w:pPr>
      <w:bookmarkStart w:id="28" w:name="ref-jensenPuffinFowlingaFowling2010"/>
      <w:bookmarkEnd w:id="27"/>
      <w:r>
        <w:t xml:space="preserve">Jensen, J.-K. (2010). </w:t>
      </w:r>
      <w:r>
        <w:rPr>
          <w:i/>
          <w:iCs/>
        </w:rPr>
        <w:t>Puffin fowling-a fowling day on Nólsoy, Faroe Islands</w:t>
      </w:r>
      <w:r>
        <w:t>. Føroya Skúlabókagrunnur.</w:t>
      </w:r>
    </w:p>
    <w:p w14:paraId="5D688247" w14:textId="77777777" w:rsidR="008055DE" w:rsidRDefault="00000000">
      <w:pPr>
        <w:pStyle w:val="Bibliography"/>
      </w:pPr>
      <w:bookmarkStart w:id="29" w:name="ref-jensenListBirdsSeen2005"/>
      <w:bookmarkEnd w:id="28"/>
      <w:r>
        <w:t xml:space="preserve">Jensen, J.-K., Bloch, D., &amp; Olsen, B. (2005). List of birds seen in the Faroe Islands. In </w:t>
      </w:r>
      <w:r>
        <w:rPr>
          <w:i/>
          <w:iCs/>
        </w:rPr>
        <w:t>Føroya fuglafrøḥifelag and Føroya skúlabókagrunnur</w:t>
      </w:r>
      <w:r>
        <w:t>. Føroya Náttúrugripasavn, Tórshavn, Faroe Islands.</w:t>
      </w:r>
    </w:p>
    <w:p w14:paraId="5D688248" w14:textId="77777777" w:rsidR="008055DE" w:rsidRDefault="00000000">
      <w:pPr>
        <w:pStyle w:val="Bibliography"/>
      </w:pPr>
      <w:bookmarkStart w:id="30" w:name="ref-jensenTraditionsPuffinFowling2020"/>
      <w:bookmarkEnd w:id="29"/>
      <w:r>
        <w:t xml:space="preserve">Jensen, J.-K., &amp; Olsen, B. (2020). Traditions for puffin fowling in the Faroe Islands the last decades. </w:t>
      </w:r>
      <w:r>
        <w:rPr>
          <w:i/>
          <w:iCs/>
        </w:rPr>
        <w:t>Journal of Nature Faroe Islands</w:t>
      </w:r>
      <w:r>
        <w:t xml:space="preserve">, </w:t>
      </w:r>
      <w:r>
        <w:rPr>
          <w:i/>
          <w:iCs/>
        </w:rPr>
        <w:t>1</w:t>
      </w:r>
      <w:r>
        <w:t>, 3–17.</w:t>
      </w:r>
    </w:p>
    <w:p w14:paraId="5D688249" w14:textId="77777777" w:rsidR="008055DE" w:rsidRDefault="00000000">
      <w:pPr>
        <w:pStyle w:val="Bibliography"/>
      </w:pPr>
      <w:bookmarkStart w:id="31" w:name="ref-jonesIncubationPatchBirds1971"/>
      <w:bookmarkEnd w:id="30"/>
      <w:r>
        <w:t xml:space="preserve">Jones, R. E. (1971). The Incubation Patch of Birds. </w:t>
      </w:r>
      <w:r>
        <w:rPr>
          <w:i/>
          <w:iCs/>
        </w:rPr>
        <w:t>Biological Reviews</w:t>
      </w:r>
      <w:r>
        <w:t xml:space="preserve">, </w:t>
      </w:r>
      <w:r>
        <w:rPr>
          <w:i/>
          <w:iCs/>
        </w:rPr>
        <w:t>46</w:t>
      </w:r>
      <w:r>
        <w:t xml:space="preserve">(3), 315–339. </w:t>
      </w:r>
      <w:hyperlink r:id="rId22">
        <w:r>
          <w:rPr>
            <w:rStyle w:val="Hyperlink"/>
          </w:rPr>
          <w:t>https://doi.org/10.1111/j.1469-185X.1971.tb01048.x</w:t>
        </w:r>
      </w:hyperlink>
    </w:p>
    <w:p w14:paraId="5D68824A" w14:textId="77777777" w:rsidR="008055DE" w:rsidRDefault="00000000">
      <w:pPr>
        <w:pStyle w:val="Bibliography"/>
      </w:pPr>
      <w:bookmarkStart w:id="32" w:name="Xe19625febeb906ccdb6e58cd53cb47af33dcf28"/>
      <w:bookmarkEnd w:id="31"/>
      <w:r>
        <w:lastRenderedPageBreak/>
        <w:t>Løgtingslóg Um Fuglaveiðu, Sum Seinast Broytt Við Løgtingslóg Nr. 70 Frá 22. Mai 2023 (1984).</w:t>
      </w:r>
    </w:p>
    <w:p w14:paraId="5D68824B" w14:textId="77777777" w:rsidR="008055DE" w:rsidRDefault="00000000">
      <w:pPr>
        <w:pStyle w:val="Bibliography"/>
      </w:pPr>
      <w:bookmarkStart w:id="33" w:name="ref-lowtherAtlanticPuffinFratercula2020"/>
      <w:bookmarkEnd w:id="32"/>
      <w:r>
        <w:t xml:space="preserve">Lowther, P. E., Diamond, A. W., Kress, S. W., Robertson, G. J., Russell, K., Nettleship, D. N., Kirwan, G. M., Christie, D. A., Sharpe, C. J., Garcia, E. F. J., &amp; Boesman, P. F. D. (2020). Atlantic puffin (Fratercula arctica), ver. 1.0. In S. M. Billerman (Ed.), </w:t>
      </w:r>
      <w:r>
        <w:rPr>
          <w:i/>
          <w:iCs/>
        </w:rPr>
        <w:t>Birds of the world</w:t>
      </w:r>
      <w:r>
        <w:t xml:space="preserve">. Cornell Laboratory of Ornithology. </w:t>
      </w:r>
      <w:hyperlink r:id="rId23">
        <w:r>
          <w:rPr>
            <w:rStyle w:val="Hyperlink"/>
          </w:rPr>
          <w:t>https://doi.org/10.2173/bow.atlpuf.01</w:t>
        </w:r>
      </w:hyperlink>
    </w:p>
    <w:p w14:paraId="5D68824C" w14:textId="77777777" w:rsidR="008055DE" w:rsidRDefault="00000000">
      <w:pPr>
        <w:pStyle w:val="Bibliography"/>
      </w:pPr>
      <w:bookmarkStart w:id="34" w:name="X958f21470482a6a06ce614515743210bd9f3c46"/>
      <w:bookmarkEnd w:id="33"/>
      <w:r>
        <w:t xml:space="preserve">McFarlane Tranquilla, L. A., Bradley, R. W., Lank, D. B., Williams, T. D., Lougheed, L. W., &amp; Cooke, F. (2003). The Reliability of Brood Patches in Assessing Reproductive Status in the Marbled Murrelet: Words of Caution. </w:t>
      </w:r>
      <w:r>
        <w:rPr>
          <w:i/>
          <w:iCs/>
        </w:rPr>
        <w:t>Waterbirds</w:t>
      </w:r>
      <w:r>
        <w:t xml:space="preserve">, </w:t>
      </w:r>
      <w:r>
        <w:rPr>
          <w:i/>
          <w:iCs/>
        </w:rPr>
        <w:t>26</w:t>
      </w:r>
      <w:r>
        <w:t xml:space="preserve">(1), 108–118. </w:t>
      </w:r>
      <w:hyperlink r:id="rId24">
        <w:r>
          <w:rPr>
            <w:rStyle w:val="Hyperlink"/>
          </w:rPr>
          <w:t>https://doi.org/10.1675/1524-4695(2003)026[0108:TROBPI]2.0.CO;2</w:t>
        </w:r>
      </w:hyperlink>
    </w:p>
    <w:p w14:paraId="5D68824D" w14:textId="77777777" w:rsidR="008055DE" w:rsidRDefault="00000000">
      <w:pPr>
        <w:pStyle w:val="Bibliography"/>
      </w:pPr>
      <w:bookmarkStart w:id="35" w:name="ref-milesDeclineAtlanticPuffin2015"/>
      <w:bookmarkEnd w:id="34"/>
      <w:r>
        <w:t xml:space="preserve">Miles, W. T. S., Mavor, R., Riddiford, N. J., Harvey, P. V., Riddington, R., Shaw, D. N., Parnaby, D., &amp; Reid, J. M. (2015). Decline in an Atlantic Puffin Population: Evaluation of Magnitude and Mechanisms. </w:t>
      </w:r>
      <w:r>
        <w:rPr>
          <w:i/>
          <w:iCs/>
        </w:rPr>
        <w:t>PLOS ONE</w:t>
      </w:r>
      <w:r>
        <w:t xml:space="preserve">, </w:t>
      </w:r>
      <w:r>
        <w:rPr>
          <w:i/>
          <w:iCs/>
        </w:rPr>
        <w:t>10</w:t>
      </w:r>
      <w:r>
        <w:t xml:space="preserve">(7), e0131527. </w:t>
      </w:r>
      <w:hyperlink r:id="rId25">
        <w:r>
          <w:rPr>
            <w:rStyle w:val="Hyperlink"/>
          </w:rPr>
          <w:t>https://doi.org/10.1371/journal.pone.0131527</w:t>
        </w:r>
      </w:hyperlink>
    </w:p>
    <w:p w14:paraId="5D68824E" w14:textId="77777777" w:rsidR="008055DE" w:rsidRDefault="00000000">
      <w:pPr>
        <w:pStyle w:val="Bibliography"/>
      </w:pPr>
      <w:bookmarkStart w:id="36" w:name="ref-sandvikHighSurvivalImmatures2008"/>
      <w:bookmarkEnd w:id="35"/>
      <w:r>
        <w:t xml:space="preserve">Sandvik, H., Erikstad, K. E., Fauchald, P., &amp; Tveraa, T. (2008). High survival of immatures in a long-lived seabird: Insights from a long-term study of the Atlantic puffin (Fratercula arctica). </w:t>
      </w:r>
      <w:r>
        <w:rPr>
          <w:i/>
          <w:iCs/>
        </w:rPr>
        <w:t>Auk</w:t>
      </w:r>
      <w:r>
        <w:t xml:space="preserve">, </w:t>
      </w:r>
      <w:r>
        <w:rPr>
          <w:i/>
          <w:iCs/>
        </w:rPr>
        <w:t>125</w:t>
      </w:r>
      <w:r>
        <w:t>, 723–730.</w:t>
      </w:r>
    </w:p>
    <w:p w14:paraId="5D68824F" w14:textId="77777777" w:rsidR="008055DE" w:rsidRDefault="00000000">
      <w:pPr>
        <w:pStyle w:val="Bibliography"/>
      </w:pPr>
      <w:bookmarkStart w:id="37" w:name="ref-vanfraneker2004"/>
      <w:bookmarkEnd w:id="36"/>
      <w:r>
        <w:t xml:space="preserve">Van Franeker, J. A. (2004). </w:t>
      </w:r>
      <w:r>
        <w:rPr>
          <w:i/>
          <w:iCs/>
        </w:rPr>
        <w:t>Save the north sea fulmar study manual 1: Collection and dissection procedures</w:t>
      </w:r>
      <w:r>
        <w:t xml:space="preserve"> (Alterra-Rapport No. 672; p. 38). Alterra. </w:t>
      </w:r>
      <w:hyperlink r:id="rId26">
        <w:r>
          <w:rPr>
            <w:rStyle w:val="Hyperlink"/>
          </w:rPr>
          <w:t>https://edepot.wur.nl/40451</w:t>
        </w:r>
      </w:hyperlink>
    </w:p>
    <w:p w14:paraId="5D688250" w14:textId="77777777" w:rsidR="008055DE" w:rsidRDefault="00000000">
      <w:pPr>
        <w:pStyle w:val="Bibliography"/>
      </w:pPr>
      <w:bookmarkStart w:id="38" w:name="ref-vehtariPracticalBayesianModel2017"/>
      <w:bookmarkEnd w:id="37"/>
      <w:r>
        <w:t xml:space="preserve">Vehtari, A., Gelman, A., &amp; Gabry, J. (2017). Practical Bayesian model evaluation using leave-one-out cross-validation and WAIC. </w:t>
      </w:r>
      <w:r>
        <w:rPr>
          <w:i/>
          <w:iCs/>
        </w:rPr>
        <w:t>Statistics and Computing</w:t>
      </w:r>
      <w:r>
        <w:t xml:space="preserve">, </w:t>
      </w:r>
      <w:r>
        <w:rPr>
          <w:i/>
          <w:iCs/>
        </w:rPr>
        <w:t>27</w:t>
      </w:r>
      <w:r>
        <w:t xml:space="preserve">(5), 1413–1432. </w:t>
      </w:r>
      <w:hyperlink r:id="rId27">
        <w:r>
          <w:rPr>
            <w:rStyle w:val="Hyperlink"/>
          </w:rPr>
          <w:t>https://doi.org/10.1007/s11222-016-9696-4</w:t>
        </w:r>
      </w:hyperlink>
    </w:p>
    <w:p w14:paraId="5D688251" w14:textId="77777777" w:rsidR="008055DE" w:rsidRDefault="00000000">
      <w:pPr>
        <w:pStyle w:val="Bibliography"/>
      </w:pPr>
      <w:bookmarkStart w:id="39" w:name="Xb381b5d8d6d3401bbb0133a1c086c6f6782b533"/>
      <w:bookmarkEnd w:id="38"/>
      <w:r>
        <w:lastRenderedPageBreak/>
        <w:t xml:space="preserve">Vehtari, A., Gelman, A., Simpson, D., Carpenter, B., &amp; Bürkner, P.-C. (2021). Rank-Normalization, Folding, and Localization: An Improved Rˆ for Assessing Convergence of MCMC (with Discussion). </w:t>
      </w:r>
      <w:r>
        <w:rPr>
          <w:i/>
          <w:iCs/>
        </w:rPr>
        <w:t>Bayesian Analysis</w:t>
      </w:r>
      <w:r>
        <w:t xml:space="preserve">, </w:t>
      </w:r>
      <w:r>
        <w:rPr>
          <w:i/>
          <w:iCs/>
        </w:rPr>
        <w:t>16</w:t>
      </w:r>
      <w:r>
        <w:t xml:space="preserve">(2), 667–718. </w:t>
      </w:r>
      <w:hyperlink r:id="rId28">
        <w:r>
          <w:rPr>
            <w:rStyle w:val="Hyperlink"/>
          </w:rPr>
          <w:t>https://doi.org/10.1214/20-BA1221</w:t>
        </w:r>
      </w:hyperlink>
    </w:p>
    <w:p w14:paraId="5D688252" w14:textId="77777777" w:rsidR="008055DE" w:rsidRDefault="00000000">
      <w:pPr>
        <w:pStyle w:val="Bibliography"/>
      </w:pPr>
      <w:bookmarkStart w:id="40" w:name="ref-vehtariParetoSmoothedImportance2024"/>
      <w:bookmarkEnd w:id="39"/>
      <w:r>
        <w:t xml:space="preserve">Vehtari, A., Simpson, D., Gelman, A., Yao, Y., &amp; Gabry, J. (2024). Pareto smoothed importance sampling. </w:t>
      </w:r>
      <w:r>
        <w:rPr>
          <w:i/>
          <w:iCs/>
        </w:rPr>
        <w:t>Journal of Machine Learning Research</w:t>
      </w:r>
      <w:r>
        <w:t xml:space="preserve">, </w:t>
      </w:r>
      <w:r>
        <w:rPr>
          <w:i/>
          <w:iCs/>
        </w:rPr>
        <w:t>25</w:t>
      </w:r>
      <w:r>
        <w:t>(72), 1–58.</w:t>
      </w:r>
      <w:bookmarkEnd w:id="11"/>
      <w:bookmarkEnd w:id="13"/>
      <w:bookmarkEnd w:id="40"/>
    </w:p>
    <w:sectPr w:rsidR="008055DE" w:rsidSect="00E51EC2">
      <w:type w:val="continuous"/>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AAF4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D3E21F2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823719">
    <w:abstractNumId w:val="1"/>
  </w:num>
  <w:num w:numId="2" w16cid:durableId="754864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1C3495"/>
    <w:rsid w:val="00283A84"/>
    <w:rsid w:val="004E29B3"/>
    <w:rsid w:val="00590D07"/>
    <w:rsid w:val="0075595C"/>
    <w:rsid w:val="00784D58"/>
    <w:rsid w:val="008055DE"/>
    <w:rsid w:val="008D6863"/>
    <w:rsid w:val="00B86B75"/>
    <w:rsid w:val="00BB090D"/>
    <w:rsid w:val="00BB4DC4"/>
    <w:rsid w:val="00BC48D5"/>
    <w:rsid w:val="00BD2612"/>
    <w:rsid w:val="00C36279"/>
    <w:rsid w:val="00D33870"/>
    <w:rsid w:val="00E315A3"/>
    <w:rsid w:val="00E51E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8818A"/>
  <w15:docId w15:val="{4851BF89-DB1D-456F-943C-02279DA25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ind w:firstLine="72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FirstParagraph"/>
    <w:uiPriority w:val="9"/>
    <w:qFormat/>
    <w:pPr>
      <w:keepNext/>
      <w:keepLines/>
      <w:spacing w:before="360" w:after="120" w:line="240" w:lineRule="auto"/>
      <w:ind w:firstLine="0"/>
      <w:outlineLvl w:val="0"/>
    </w:pPr>
    <w:rPr>
      <w:b/>
      <w:bCs/>
      <w:caps/>
    </w:rPr>
  </w:style>
  <w:style w:type="paragraph" w:styleId="Heading2">
    <w:name w:val="heading 2"/>
    <w:basedOn w:val="Normal"/>
    <w:next w:val="FirstParagraph"/>
    <w:uiPriority w:val="9"/>
    <w:unhideWhenUsed/>
    <w:qFormat/>
    <w:pPr>
      <w:keepNext/>
      <w:keepLines/>
      <w:spacing w:before="240" w:after="120" w:line="240" w:lineRule="auto"/>
      <w:ind w:firstLine="0"/>
      <w:outlineLvl w:val="1"/>
    </w:pPr>
    <w:rPr>
      <w:b/>
      <w:bCs/>
    </w:rPr>
  </w:style>
  <w:style w:type="paragraph" w:styleId="Heading3">
    <w:name w:val="heading 3"/>
    <w:basedOn w:val="Normal"/>
    <w:next w:val="FirstParagraph"/>
    <w:uiPriority w:val="9"/>
    <w:unhideWhenUsed/>
    <w:qFormat/>
    <w:pPr>
      <w:keepNext/>
      <w:keepLines/>
      <w:spacing w:before="240" w:after="120" w:line="240" w:lineRule="auto"/>
      <w:ind w:firstLine="0"/>
      <w:outlineLvl w:val="2"/>
    </w:pPr>
    <w:rPr>
      <w:i/>
      <w:iCs/>
    </w:rPr>
  </w:style>
  <w:style w:type="paragraph" w:styleId="Heading4">
    <w:name w:val="heading 4"/>
    <w:basedOn w:val="Normal"/>
    <w:next w:val="FirstParagraph"/>
    <w:uiPriority w:val="9"/>
    <w:unhideWhenUsed/>
    <w:qFormat/>
    <w:pPr>
      <w:keepNext/>
      <w:keepLines/>
      <w:spacing w:before="240" w:after="120" w:line="240" w:lineRule="auto"/>
      <w:ind w:firstLine="0"/>
      <w:outlineLvl w:val="3"/>
    </w:pPr>
    <w:rPr>
      <w:i/>
    </w:rPr>
  </w:style>
  <w:style w:type="paragraph" w:styleId="Heading5">
    <w:name w:val="heading 5"/>
    <w:basedOn w:val="Normal"/>
    <w:next w:val="FirstParagraph"/>
    <w:uiPriority w:val="9"/>
    <w:unhideWhenUsed/>
    <w:qFormat/>
    <w:pPr>
      <w:keepNext/>
      <w:keepLines/>
      <w:spacing w:before="240" w:after="120" w:line="240" w:lineRule="auto"/>
      <w:ind w:firstLine="0"/>
      <w:outlineLvl w:val="4"/>
    </w:pPr>
  </w:style>
  <w:style w:type="paragraph" w:styleId="Heading6">
    <w:name w:val="heading 6"/>
    <w:basedOn w:val="Normal"/>
    <w:next w:val="FirstParagraph"/>
    <w:uiPriority w:val="9"/>
    <w:unhideWhenUsed/>
    <w:qFormat/>
    <w:pPr>
      <w:keepNext/>
      <w:keepLines/>
      <w:spacing w:before="240" w:after="120" w:line="240" w:lineRule="auto"/>
      <w:ind w:firstLine="0"/>
      <w:outlineLvl w:val="5"/>
    </w:pPr>
  </w:style>
  <w:style w:type="paragraph" w:styleId="Heading7">
    <w:name w:val="heading 7"/>
    <w:basedOn w:val="Normal"/>
    <w:next w:val="FirstParagraph"/>
    <w:uiPriority w:val="9"/>
    <w:unhideWhenUsed/>
    <w:qFormat/>
    <w:pPr>
      <w:keepNext/>
      <w:keepLines/>
      <w:spacing w:before="240" w:after="120" w:line="240" w:lineRule="auto"/>
      <w:ind w:firstLine="0"/>
      <w:outlineLvl w:val="6"/>
    </w:pPr>
  </w:style>
  <w:style w:type="paragraph" w:styleId="Heading8">
    <w:name w:val="heading 8"/>
    <w:basedOn w:val="Normal"/>
    <w:next w:val="FirstParagraph"/>
    <w:uiPriority w:val="9"/>
    <w:unhideWhenUsed/>
    <w:qFormat/>
    <w:pPr>
      <w:keepNext/>
      <w:keepLines/>
      <w:spacing w:before="240" w:after="120" w:line="240" w:lineRule="auto"/>
      <w:ind w:firstLine="0"/>
      <w:outlineLvl w:val="7"/>
    </w:pPr>
  </w:style>
  <w:style w:type="paragraph" w:styleId="Heading9">
    <w:name w:val="heading 9"/>
    <w:basedOn w:val="Normal"/>
    <w:next w:val="FirstParagraph"/>
    <w:uiPriority w:val="9"/>
    <w:unhideWhenUsed/>
    <w:qFormat/>
    <w:pPr>
      <w:keepNext/>
      <w:keepLines/>
      <w:spacing w:before="240" w:after="120" w:line="240" w:lineRule="auto"/>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line="240" w:lineRule="auto"/>
      <w:ind w:firstLine="0"/>
    </w:pPr>
  </w:style>
  <w:style w:type="paragraph" w:styleId="Title">
    <w:name w:val="Title"/>
    <w:basedOn w:val="Normal"/>
    <w:next w:val="Author"/>
    <w:qFormat/>
    <w:pPr>
      <w:keepNext/>
      <w:keepLines/>
      <w:spacing w:after="240" w:line="240" w:lineRule="auto"/>
      <w:ind w:firstLine="0"/>
      <w:jc w:val="center"/>
    </w:pPr>
    <w:rPr>
      <w:b/>
      <w:bCs/>
      <w:caps/>
      <w:sz w:val="28"/>
      <w:szCs w:val="28"/>
    </w:rPr>
  </w:style>
  <w:style w:type="paragraph" w:styleId="Subtitle">
    <w:name w:val="Subtitle"/>
    <w:basedOn w:val="Title"/>
    <w:next w:val="BodyText"/>
    <w:qFormat/>
    <w:pPr>
      <w:spacing w:before="120"/>
    </w:pPr>
    <w:rPr>
      <w:b w:val="0"/>
      <w:i/>
      <w:caps w:val="0"/>
      <w:sz w:val="24"/>
      <w:szCs w:val="24"/>
    </w:rPr>
  </w:style>
  <w:style w:type="paragraph" w:customStyle="1" w:styleId="Author">
    <w:name w:val="Author"/>
    <w:basedOn w:val="Normal"/>
    <w:next w:val="Address"/>
    <w:qFormat/>
    <w:pPr>
      <w:keepNext/>
      <w:keepLines/>
      <w:spacing w:after="120" w:line="240" w:lineRule="auto"/>
      <w:ind w:firstLine="0"/>
      <w:jc w:val="center"/>
    </w:pPr>
    <w:rPr>
      <w:caps/>
    </w:rPr>
  </w:style>
  <w:style w:type="paragraph" w:customStyle="1" w:styleId="Address">
    <w:name w:val="Address"/>
    <w:basedOn w:val="Normal"/>
    <w:qFormat/>
    <w:pPr>
      <w:keepLines/>
      <w:spacing w:line="240" w:lineRule="auto"/>
      <w:ind w:firstLine="0"/>
      <w:jc w:val="center"/>
    </w:pPr>
    <w:rPr>
      <w:i/>
      <w:sz w:val="22"/>
      <w:szCs w:val="22"/>
    </w:rPr>
  </w:style>
  <w:style w:type="paragraph" w:styleId="Date">
    <w:name w:val="Date"/>
    <w:basedOn w:val="Normal"/>
    <w:next w:val="BodyText"/>
    <w:qFormat/>
    <w:pPr>
      <w:keepNext/>
      <w:keepLines/>
      <w:ind w:firstLine="0"/>
      <w:jc w:val="center"/>
    </w:pPr>
  </w:style>
  <w:style w:type="paragraph" w:customStyle="1" w:styleId="AbstractHeading">
    <w:name w:val="Abstract Heading"/>
    <w:basedOn w:val="Normal"/>
    <w:next w:val="Abstract"/>
    <w:qFormat/>
    <w:pPr>
      <w:keepNext/>
      <w:keepLines/>
      <w:spacing w:before="360" w:after="120" w:line="240" w:lineRule="auto"/>
      <w:ind w:firstLine="0"/>
      <w:jc w:val="center"/>
    </w:pPr>
    <w:rPr>
      <w:b/>
      <w:caps/>
    </w:rPr>
  </w:style>
  <w:style w:type="paragraph" w:customStyle="1" w:styleId="Abstract">
    <w:name w:val="Abstract"/>
    <w:basedOn w:val="Normal"/>
    <w:qFormat/>
    <w:pPr>
      <w:keepLines/>
      <w:spacing w:after="120"/>
      <w:ind w:firstLine="0"/>
      <w:jc w:val="both"/>
    </w:pPr>
  </w:style>
  <w:style w:type="paragraph" w:styleId="Bibliography">
    <w:name w:val="Bibliography"/>
    <w:basedOn w:val="Normal"/>
    <w:qFormat/>
    <w:pPr>
      <w:ind w:left="720" w:hanging="720"/>
    </w:p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pPr>
      <w:spacing w:line="240" w:lineRule="auto"/>
      <w:ind w:firstLine="0"/>
    </w:pPr>
    <w:rPr>
      <w:sz w:val="20"/>
      <w:szCs w:val="20"/>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line="240" w:lineRule="auto"/>
      <w:ind w:firstLine="0"/>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ind w:firstLine="0"/>
      <w:jc w:val="center"/>
    </w:p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styleId="FootnoteReference">
    <w:name w:val="footnote reference"/>
    <w:basedOn w:val="CaptionChar"/>
    <w:rPr>
      <w:vertAlign w:val="superscript"/>
    </w:rPr>
  </w:style>
  <w:style w:type="character" w:styleId="Hyperlink">
    <w:name w:val="Hyperlink"/>
    <w:basedOn w:val="CaptionChar"/>
    <w:rPr>
      <w:color w:val="000000"/>
      <w:u w:val="none"/>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rPr>
  </w:style>
  <w:style w:type="character" w:styleId="LineNumber">
    <w:name w:val="line number"/>
    <w:basedOn w:val="DefaultParagraphFont"/>
    <w:rsid w:val="00D33870"/>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0"/>
      <w:shd w:val="clear" w:color="auto" w:fill="F1F3F5"/>
    </w:rPr>
  </w:style>
  <w:style w:type="character" w:customStyle="1" w:styleId="DataTypeTok">
    <w:name w:val="DataTypeTok"/>
    <w:basedOn w:val="VerbatimChar"/>
    <w:rPr>
      <w:rFonts w:ascii="Consolas" w:hAnsi="Consolas"/>
      <w:color w:val="AD0000"/>
      <w:sz w:val="20"/>
      <w:shd w:val="clear" w:color="auto" w:fill="F1F3F5"/>
    </w:rPr>
  </w:style>
  <w:style w:type="character" w:customStyle="1" w:styleId="DecValTok">
    <w:name w:val="DecValTok"/>
    <w:basedOn w:val="VerbatimChar"/>
    <w:rPr>
      <w:rFonts w:ascii="Consolas" w:hAnsi="Consolas"/>
      <w:color w:val="AD0000"/>
      <w:sz w:val="20"/>
      <w:shd w:val="clear" w:color="auto" w:fill="F1F3F5"/>
    </w:rPr>
  </w:style>
  <w:style w:type="character" w:customStyle="1" w:styleId="BaseNTok">
    <w:name w:val="BaseNTok"/>
    <w:basedOn w:val="VerbatimChar"/>
    <w:rPr>
      <w:rFonts w:ascii="Consolas" w:hAnsi="Consolas"/>
      <w:color w:val="AD0000"/>
      <w:sz w:val="20"/>
      <w:shd w:val="clear" w:color="auto" w:fill="F1F3F5"/>
    </w:rPr>
  </w:style>
  <w:style w:type="character" w:customStyle="1" w:styleId="FloatTok">
    <w:name w:val="FloatTok"/>
    <w:basedOn w:val="VerbatimChar"/>
    <w:rPr>
      <w:rFonts w:ascii="Consolas" w:hAnsi="Consolas"/>
      <w:color w:val="AD0000"/>
      <w:sz w:val="20"/>
      <w:shd w:val="clear" w:color="auto" w:fill="F1F3F5"/>
    </w:rPr>
  </w:style>
  <w:style w:type="character" w:customStyle="1" w:styleId="ConstantTok">
    <w:name w:val="ConstantTok"/>
    <w:basedOn w:val="VerbatimChar"/>
    <w:rPr>
      <w:rFonts w:ascii="Consolas" w:hAnsi="Consolas"/>
      <w:color w:val="8F5902"/>
      <w:sz w:val="20"/>
      <w:shd w:val="clear" w:color="auto" w:fill="F1F3F5"/>
    </w:rPr>
  </w:style>
  <w:style w:type="character" w:customStyle="1" w:styleId="CharTok">
    <w:name w:val="CharTok"/>
    <w:basedOn w:val="VerbatimChar"/>
    <w:rPr>
      <w:rFonts w:ascii="Consolas" w:hAnsi="Consolas"/>
      <w:color w:val="20794D"/>
      <w:sz w:val="20"/>
      <w:shd w:val="clear" w:color="auto" w:fill="F1F3F5"/>
    </w:rPr>
  </w:style>
  <w:style w:type="character" w:customStyle="1" w:styleId="SpecialCharTok">
    <w:name w:val="SpecialCharTok"/>
    <w:basedOn w:val="VerbatimChar"/>
    <w:rPr>
      <w:rFonts w:ascii="Consolas" w:hAnsi="Consolas"/>
      <w:color w:val="5E5E5E"/>
      <w:sz w:val="20"/>
      <w:shd w:val="clear" w:color="auto" w:fill="F1F3F5"/>
    </w:rPr>
  </w:style>
  <w:style w:type="character" w:customStyle="1" w:styleId="StringTok">
    <w:name w:val="StringTok"/>
    <w:basedOn w:val="VerbatimChar"/>
    <w:rPr>
      <w:rFonts w:ascii="Consolas" w:hAnsi="Consolas"/>
      <w:color w:val="20794D"/>
      <w:sz w:val="20"/>
      <w:shd w:val="clear" w:color="auto" w:fill="F1F3F5"/>
    </w:rPr>
  </w:style>
  <w:style w:type="character" w:customStyle="1" w:styleId="VerbatimStringTok">
    <w:name w:val="VerbatimStringTok"/>
    <w:basedOn w:val="VerbatimChar"/>
    <w:rPr>
      <w:rFonts w:ascii="Consolas" w:hAnsi="Consolas"/>
      <w:color w:val="20794D"/>
      <w:sz w:val="20"/>
      <w:shd w:val="clear" w:color="auto" w:fill="F1F3F5"/>
    </w:rPr>
  </w:style>
  <w:style w:type="character" w:customStyle="1" w:styleId="SpecialStringTok">
    <w:name w:val="SpecialStringTok"/>
    <w:basedOn w:val="VerbatimChar"/>
    <w:rPr>
      <w:rFonts w:ascii="Consolas" w:hAnsi="Consolas"/>
      <w:color w:val="20794D"/>
      <w:sz w:val="20"/>
      <w:shd w:val="clear" w:color="auto" w:fill="F1F3F5"/>
    </w:rPr>
  </w:style>
  <w:style w:type="character" w:customStyle="1" w:styleId="ImportTok">
    <w:name w:val="ImportTok"/>
    <w:basedOn w:val="VerbatimChar"/>
    <w:rPr>
      <w:rFonts w:ascii="Consolas" w:hAnsi="Consolas"/>
      <w:color w:val="00769E"/>
      <w:sz w:val="20"/>
      <w:shd w:val="clear" w:color="auto" w:fill="F1F3F5"/>
    </w:rPr>
  </w:style>
  <w:style w:type="character" w:customStyle="1" w:styleId="CommentTok">
    <w:name w:val="CommentTok"/>
    <w:basedOn w:val="VerbatimChar"/>
    <w:rPr>
      <w:rFonts w:ascii="Consolas" w:hAnsi="Consolas"/>
      <w:color w:val="5E5E5E"/>
      <w:sz w:val="20"/>
      <w:shd w:val="clear" w:color="auto" w:fill="F1F3F5"/>
    </w:rPr>
  </w:style>
  <w:style w:type="character" w:customStyle="1" w:styleId="DocumentationTok">
    <w:name w:val="DocumentationTok"/>
    <w:basedOn w:val="VerbatimChar"/>
    <w:rPr>
      <w:rFonts w:ascii="Consolas" w:hAnsi="Consolas"/>
      <w:i/>
      <w:color w:val="5E5E5E"/>
      <w:sz w:val="20"/>
      <w:shd w:val="clear" w:color="auto" w:fill="F1F3F5"/>
    </w:rPr>
  </w:style>
  <w:style w:type="character" w:customStyle="1" w:styleId="AnnotationTok">
    <w:name w:val="AnnotationTok"/>
    <w:basedOn w:val="VerbatimChar"/>
    <w:rPr>
      <w:rFonts w:ascii="Consolas" w:hAnsi="Consolas"/>
      <w:color w:val="5E5E5E"/>
      <w:sz w:val="20"/>
      <w:shd w:val="clear" w:color="auto" w:fill="F1F3F5"/>
    </w:rPr>
  </w:style>
  <w:style w:type="character" w:customStyle="1" w:styleId="CommentVarTok">
    <w:name w:val="CommentVarTok"/>
    <w:basedOn w:val="VerbatimChar"/>
    <w:rPr>
      <w:rFonts w:ascii="Consolas" w:hAnsi="Consolas"/>
      <w:i/>
      <w:color w:val="5E5E5E"/>
      <w:sz w:val="20"/>
      <w:shd w:val="clear" w:color="auto" w:fill="F1F3F5"/>
    </w:rPr>
  </w:style>
  <w:style w:type="character" w:customStyle="1" w:styleId="OtherTok">
    <w:name w:val="OtherTok"/>
    <w:basedOn w:val="VerbatimChar"/>
    <w:rPr>
      <w:rFonts w:ascii="Consolas" w:hAnsi="Consolas"/>
      <w:color w:val="003B4F"/>
      <w:sz w:val="20"/>
      <w:shd w:val="clear" w:color="auto" w:fill="F1F3F5"/>
    </w:rPr>
  </w:style>
  <w:style w:type="character" w:customStyle="1" w:styleId="FunctionTok">
    <w:name w:val="FunctionTok"/>
    <w:basedOn w:val="VerbatimChar"/>
    <w:rPr>
      <w:rFonts w:ascii="Consolas" w:hAnsi="Consolas"/>
      <w:color w:val="4758AB"/>
      <w:sz w:val="20"/>
      <w:shd w:val="clear" w:color="auto" w:fill="F1F3F5"/>
    </w:rPr>
  </w:style>
  <w:style w:type="character" w:customStyle="1" w:styleId="VariableTok">
    <w:name w:val="VariableTok"/>
    <w:basedOn w:val="VerbatimChar"/>
    <w:rPr>
      <w:rFonts w:ascii="Consolas" w:hAnsi="Consolas"/>
      <w:color w:val="111111"/>
      <w:sz w:val="20"/>
      <w:shd w:val="clear" w:color="auto" w:fill="F1F3F5"/>
    </w:rPr>
  </w:style>
  <w:style w:type="character" w:customStyle="1" w:styleId="ControlFlowTok">
    <w:name w:val="ControlFlowTok"/>
    <w:basedOn w:val="VerbatimChar"/>
    <w:rPr>
      <w:rFonts w:ascii="Consolas" w:hAnsi="Consolas"/>
      <w:b/>
      <w:color w:val="003B4F"/>
      <w:sz w:val="20"/>
      <w:shd w:val="clear" w:color="auto" w:fill="F1F3F5"/>
    </w:rPr>
  </w:style>
  <w:style w:type="character" w:customStyle="1" w:styleId="OperatorTok">
    <w:name w:val="OperatorTok"/>
    <w:basedOn w:val="VerbatimChar"/>
    <w:rPr>
      <w:rFonts w:ascii="Consolas" w:hAnsi="Consolas"/>
      <w:color w:val="5E5E5E"/>
      <w:sz w:val="20"/>
      <w:shd w:val="clear" w:color="auto" w:fill="F1F3F5"/>
    </w:rPr>
  </w:style>
  <w:style w:type="character" w:customStyle="1" w:styleId="BuiltInTok">
    <w:name w:val="BuiltInTok"/>
    <w:basedOn w:val="VerbatimChar"/>
    <w:rPr>
      <w:rFonts w:ascii="Consolas" w:hAnsi="Consolas"/>
      <w:color w:val="003B4F"/>
      <w:sz w:val="20"/>
      <w:shd w:val="clear" w:color="auto" w:fill="F1F3F5"/>
    </w:rPr>
  </w:style>
  <w:style w:type="character" w:customStyle="1" w:styleId="ExtensionTok">
    <w:name w:val="ExtensionTok"/>
    <w:basedOn w:val="VerbatimChar"/>
    <w:rPr>
      <w:rFonts w:ascii="Consolas" w:hAnsi="Consolas"/>
      <w:color w:val="003B4F"/>
      <w:sz w:val="20"/>
      <w:shd w:val="clear" w:color="auto" w:fill="F1F3F5"/>
    </w:rPr>
  </w:style>
  <w:style w:type="character" w:customStyle="1" w:styleId="PreprocessorTok">
    <w:name w:val="PreprocessorTok"/>
    <w:basedOn w:val="VerbatimChar"/>
    <w:rPr>
      <w:rFonts w:ascii="Consolas" w:hAnsi="Consolas"/>
      <w:color w:val="AD0000"/>
      <w:sz w:val="20"/>
      <w:shd w:val="clear" w:color="auto" w:fill="F1F3F5"/>
    </w:rPr>
  </w:style>
  <w:style w:type="character" w:customStyle="1" w:styleId="AttributeTok">
    <w:name w:val="AttributeTok"/>
    <w:basedOn w:val="VerbatimChar"/>
    <w:rPr>
      <w:rFonts w:ascii="Consolas" w:hAnsi="Consolas"/>
      <w:color w:val="657422"/>
      <w:sz w:val="20"/>
      <w:shd w:val="clear" w:color="auto" w:fill="F1F3F5"/>
    </w:rPr>
  </w:style>
  <w:style w:type="character" w:customStyle="1" w:styleId="RegionMarkerTok">
    <w:name w:val="RegionMarkerTok"/>
    <w:basedOn w:val="VerbatimChar"/>
    <w:rPr>
      <w:rFonts w:ascii="Consolas" w:hAnsi="Consolas"/>
      <w:color w:val="003B4F"/>
      <w:sz w:val="20"/>
      <w:shd w:val="clear" w:color="auto" w:fill="F1F3F5"/>
    </w:rPr>
  </w:style>
  <w:style w:type="character" w:customStyle="1" w:styleId="InformationTok">
    <w:name w:val="InformationTok"/>
    <w:basedOn w:val="VerbatimChar"/>
    <w:rPr>
      <w:rFonts w:ascii="Consolas" w:hAnsi="Consolas"/>
      <w:color w:val="5E5E5E"/>
      <w:sz w:val="20"/>
      <w:shd w:val="clear" w:color="auto" w:fill="F1F3F5"/>
    </w:rPr>
  </w:style>
  <w:style w:type="character" w:customStyle="1" w:styleId="WarningTok">
    <w:name w:val="WarningTok"/>
    <w:basedOn w:val="VerbatimChar"/>
    <w:rPr>
      <w:rFonts w:ascii="Consolas" w:hAnsi="Consolas"/>
      <w:i/>
      <w:color w:val="5E5E5E"/>
      <w:sz w:val="20"/>
      <w:shd w:val="clear" w:color="auto" w:fill="F1F3F5"/>
    </w:rPr>
  </w:style>
  <w:style w:type="character" w:customStyle="1" w:styleId="AlertTok">
    <w:name w:val="AlertTok"/>
    <w:basedOn w:val="VerbatimChar"/>
    <w:rPr>
      <w:rFonts w:ascii="Consolas" w:hAnsi="Consolas"/>
      <w:color w:val="AD0000"/>
      <w:sz w:val="20"/>
      <w:shd w:val="clear" w:color="auto" w:fill="F1F3F5"/>
    </w:rPr>
  </w:style>
  <w:style w:type="character" w:customStyle="1" w:styleId="ErrorTok">
    <w:name w:val="ErrorTok"/>
    <w:basedOn w:val="VerbatimChar"/>
    <w:rPr>
      <w:rFonts w:ascii="Consolas" w:hAnsi="Consolas"/>
      <w:color w:val="AD0000"/>
      <w:sz w:val="20"/>
      <w:shd w:val="clear" w:color="auto" w:fill="F1F3F5"/>
    </w:rPr>
  </w:style>
  <w:style w:type="character" w:customStyle="1" w:styleId="NormalTok">
    <w:name w:val="NormalTok"/>
    <w:basedOn w:val="VerbatimChar"/>
    <w:rPr>
      <w:rFonts w:ascii="Consolas" w:hAnsi="Consolas"/>
      <w:color w:val="003B4F"/>
      <w:sz w:val="20"/>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atazone.birdlife.org/species/factsheet/atlantic-puffin-fratercula-arctica" TargetMode="External"/><Relationship Id="rId18" Type="http://schemas.openxmlformats.org/officeDocument/2006/relationships/hyperlink" Target="https://doi.org/10.1111/j.1461-0248.2004.00588.x" TargetMode="External"/><Relationship Id="rId26" Type="http://schemas.openxmlformats.org/officeDocument/2006/relationships/hyperlink" Target="https://edepot.wur.nl/40451" TargetMode="External"/><Relationship Id="rId3" Type="http://schemas.openxmlformats.org/officeDocument/2006/relationships/settings" Target="settings.xml"/><Relationship Id="rId21" Type="http://schemas.openxmlformats.org/officeDocument/2006/relationships/hyperlink" Target="https://doi.org/10.1111/j.0030-1299.2005.13351.x" TargetMode="External"/><Relationship Id="rId7" Type="http://schemas.openxmlformats.org/officeDocument/2006/relationships/image" Target="media/image3.png"/><Relationship Id="rId12" Type="http://schemas.openxmlformats.org/officeDocument/2006/relationships/hyperlink" Target="https://doi.org/10.2305/IUCN.UK.2018-2.RLTS.T22694927A132581443.en" TargetMode="External"/><Relationship Id="rId17" Type="http://schemas.openxmlformats.org/officeDocument/2006/relationships/hyperlink" Target="https://doi.org/10.1111/j.0030-1299.2004.13119.x" TargetMode="External"/><Relationship Id="rId25" Type="http://schemas.openxmlformats.org/officeDocument/2006/relationships/hyperlink" Target="https://doi.org/10.1371/journal.pone.0131527" TargetMode="External"/><Relationship Id="rId2" Type="http://schemas.openxmlformats.org/officeDocument/2006/relationships/styles" Target="styles.xml"/><Relationship Id="rId16" Type="http://schemas.openxmlformats.org/officeDocument/2006/relationships/hyperlink" Target="https://doi.org/10.1016/j.biocon.2019.06.033" TargetMode="External"/><Relationship Id="rId20" Type="http://schemas.openxmlformats.org/officeDocument/2006/relationships/hyperlink" Target="https://www3.stat.sinica.edu.tw/statistica/j6n4/j6n41/j6n41.ht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2307/1365062" TargetMode="External"/><Relationship Id="rId24" Type="http://schemas.openxmlformats.org/officeDocument/2006/relationships/hyperlink" Target="https://doi.org/10.1675/1524-4695(2003)026%5b0108:TROBPI%5d2.0.CO;2" TargetMode="External"/><Relationship Id="rId5" Type="http://schemas.openxmlformats.org/officeDocument/2006/relationships/image" Target="media/image1.png"/><Relationship Id="rId15" Type="http://schemas.openxmlformats.org/officeDocument/2006/relationships/hyperlink" Target="https://doi.org/10.1002/ecs2.1283" TargetMode="External"/><Relationship Id="rId23" Type="http://schemas.openxmlformats.org/officeDocument/2006/relationships/hyperlink" Target="https://doi.org/10.2173/bow.atlpuf.01" TargetMode="External"/><Relationship Id="rId28" Type="http://schemas.openxmlformats.org/officeDocument/2006/relationships/hyperlink" Target="https://doi.org/10.1214/20-BA1221" TargetMode="External"/><Relationship Id="rId10" Type="http://schemas.openxmlformats.org/officeDocument/2006/relationships/hyperlink" Target="https://doi.org/10.1002/wlb3.01546" TargetMode="External"/><Relationship Id="rId19" Type="http://schemas.openxmlformats.org/officeDocument/2006/relationships/hyperlink" Target="https://doi.org/10.1111/rssa.12378" TargetMode="External"/><Relationship Id="rId4" Type="http://schemas.openxmlformats.org/officeDocument/2006/relationships/webSettings" Target="webSettings.xml"/><Relationship Id="rId9" Type="http://schemas.openxmlformats.org/officeDocument/2006/relationships/hyperlink" Target="https://doi.org/10.2307/3676349" TargetMode="External"/><Relationship Id="rId14" Type="http://schemas.openxmlformats.org/officeDocument/2006/relationships/hyperlink" Target="https://doi.org/10.18637/jss.v080.i01" TargetMode="External"/><Relationship Id="rId22" Type="http://schemas.openxmlformats.org/officeDocument/2006/relationships/hyperlink" Target="https://doi.org/10.1111/j.1469-185X.1971.tb01048.x" TargetMode="External"/><Relationship Id="rId27" Type="http://schemas.openxmlformats.org/officeDocument/2006/relationships/hyperlink" Target="https://doi.org/10.1007/s11222-016-9696-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3117</Words>
  <Characters>17767</Characters>
  <Application>Microsoft Office Word</Application>
  <DocSecurity>0</DocSecurity>
  <Lines>148</Lines>
  <Paragraphs>41</Paragraphs>
  <ScaleCrop>false</ScaleCrop>
  <Company/>
  <LinksUpToDate>false</LinksUpToDate>
  <CharactersWithSpaces>20843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Anne Ausems</cp:lastModifiedBy>
  <cp:revision>2</cp:revision>
  <dcterms:created xsi:type="dcterms:W3CDTF">2026-08-01T21:10:00Z</dcterms:created>
  <dcterms:modified xsi:type="dcterms:W3CDTF">2026-08-01T21:11:00Z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