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100.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pPr>
      <w:r>
        <w:t xml:space="preserve">Received 05 August 2026, accepted xxxx</w:t>
      </w:r>
    </w:p>
    <w:bookmarkStart w:id="9" w:name="abstract"/>
    <w:p>
      <w:pPr>
        <w:pStyle w:val="Heading1"/>
      </w:pPr>
      <w:r>
        <w:t xml:space="preserve">ABSTRACT</w:t>
      </w:r>
    </w:p>
    <w:p>
      <w:pPr>
        <w:pStyle w:val="FirstParagraph"/>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pPr>
      <w:r>
        <w:t xml:space="preserve">Ongoing climate change and increasing human-induced environmental change are causing substantial declines in seabirds. The Atlantic Puffin</w:t>
      </w:r>
      <w:r>
        <w:t xml:space="preserve"> </w:t>
      </w:r>
      <w:r>
        <w:rPr>
          <w:i/>
          <w:iCs/>
        </w:rPr>
        <w:t xml:space="preserve">Fratercula arctica</w:t>
      </w:r>
      <w:r>
        <w:t xml:space="preserve"> </w:t>
      </w:r>
      <w:r>
        <w:t xml:space="preserve">(hereafter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increased over time. We also scored brood patch presence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within birds without brood patches, the proportion of confirmed breeders increased as well. Together, we showed that the representation of young, pre-breeding female birds declined in the sample, suggesting a substantial decline in recruitment. While the hunt is unlikely to be the main driver of the population decline in</w:t>
      </w:r>
      <w:r>
        <w:t xml:space="preserve"> </w:t>
      </w:r>
      <w:r>
        <w:rPr>
          <w:i/>
          <w:iCs/>
        </w:rPr>
        <w:t xml:space="preserve">Føroyar</w:t>
      </w:r>
      <w:r>
        <w:t xml:space="preserve">, even reduced harvesting is likely unsustainable under current global conditions.</w:t>
      </w:r>
    </w:p>
    <w:bookmarkEnd w:id="9"/>
    <w:bookmarkStart w:id="10" w:name="samandráttur"/>
    <w:p>
      <w:pPr>
        <w:pStyle w:val="Heading1"/>
      </w:pPr>
      <w:r>
        <w:t xml:space="preserve">SAMANDRÁTTUR</w:t>
      </w:r>
    </w:p>
    <w:p>
      <w:pPr>
        <w:pStyle w:val="FirstParagraph"/>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í sýnunum vísa á eina lækking av talinum á ungfuglum, sum ikki høvdu ynglað enn, og hetta bendir á stórar trupulleikar hjá stovninum at seta nýggjan ynglifugl við. Tað er neyvan veiðan, sum er høvuðsorsøkin til, at stovnurin minkar í Føroyum, men sjálvt avmarkað veiða er óburðardygg, soleiðis sum støðan er í dag hjá lundanum um allan heim.</w:t>
      </w:r>
    </w:p>
    <w:p>
      <w:pPr>
        <w:pStyle w:val="BodyText"/>
      </w:pPr>
      <w:r>
        <w:rPr>
          <w:b/>
          <w:bCs/>
        </w:rPr>
        <w:t xml:space="preserve">Key words:</w:t>
      </w:r>
      <w:r>
        <w:t xml:space="preserve"> </w:t>
      </w:r>
      <w:r>
        <w:t xml:space="preserve">demographics, seabirds, traditional harvest, recruitment, brood patch, seabird conservation</w:t>
      </w:r>
    </w:p>
    <w:bookmarkEnd w:id="10"/>
    <w:bookmarkStart w:id="11"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declining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and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J.-K.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(J.-K. 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decline,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(J.-K. Jensen, 2010)</w:t>
      </w:r>
      <w:r>
        <w:t xml:space="preserve">. Puffin harvesting is restricted to the chick-rearing period as this makes it easier to distinguish breeding adults and prospecting juveniles</w:t>
      </w:r>
      <w:r>
        <w:t xml:space="preserve"> </w:t>
      </w:r>
      <w:r>
        <w:t xml:space="preserve">(J.-K. 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(J.-K. Jensen, 2010)</w:t>
      </w:r>
      <w:r>
        <w:t xml:space="preserve">. Puffins do not necessarily display this behaviour every day; rather they come to the colony on specific</w:t>
      </w:r>
      <w:r>
        <w:t xml:space="preserve"> </w:t>
      </w:r>
      <w:r>
        <w:rPr>
          <w:i/>
          <w:iCs/>
        </w:rPr>
        <w:t xml:space="preserve">landkomudagar</w:t>
      </w:r>
      <w:r>
        <w:t xml:space="preserve"> </w:t>
      </w:r>
      <w:r>
        <w:t xml:space="preserve">(literally translated</w:t>
      </w:r>
      <w:r>
        <w:t xml:space="preserve"> </w:t>
      </w:r>
      <w:r>
        <w:t xml:space="preserve">“land-coming days”</w:t>
      </w:r>
      <w:r>
        <w:t xml:space="preserve">, i.e., days when a large number of birds attend the colony; historically mostly young puffins, but in struggling colonies often adults that skipped breeding or failed breeders, J-KJ, pers. obs.) 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 that, as the overall age of the population is increasing and the proportion of young (i.e., &lt;4 calendar yr) is declining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brood patch presence might be a misleading sign of breeding status</w:t>
      </w:r>
      <w:r>
        <w:t xml:space="preserve"> </w:t>
      </w:r>
      <w:r>
        <w:t xml:space="preserve">(McFarlane Tranquilla et al., 2003)</w:t>
      </w:r>
      <w:r>
        <w:t xml:space="preserve">, we assumed that, at the time of the puffin hunt, prospecting and failed breeders would have refeathered their brood patches as their hormone levels went back down, while actively incubating and brooding birds still retained theirs. We predicted that females of breeding age would be less likely to have brood patches later in the study period, indicating increased breeding failures or an increase in birds foregoing breeding.</w:t>
      </w:r>
    </w:p>
    <w:bookmarkEnd w:id="11"/>
    <w:bookmarkStart w:id="12"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Sampling never started before 02 July (</w:t>
      </w:r>
      <w:hyperlink w:anchor="tbl-harvest">
        <w:r>
          <w:rPr>
            <w:rStyle w:val="Hyperlink"/>
          </w:rPr>
          <w:t xml:space="preserve">Table 1</w:t>
        </w:r>
      </w:hyperlink>
      <w:r>
        <w:t xml:space="preserve">), but the end date was not always adhered to as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brood patches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the presence of brood patches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2"/>
    <w:bookmarkStart w:id="13" w:name="results"/>
    <w:p>
      <w:pPr>
        <w:pStyle w:val="Heading1"/>
      </w:pPr>
      <w:r>
        <w:t xml:space="preserve">Results</w:t>
      </w: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brood patches, and a less certain increase in females with brood patches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patches), the model predicted a probability of 0.13 (95% CI: 0.12–0.15). In comparison, in the last year of the study period (2008), 78% (47 of 60) of sampled females were of confirmed breeding age, an increase of 62 percentage points. Given that year’s brood patch composition (32% with brood patches),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brood patches (the baseline for the model) and 2.54 (95% CI: 0.98–7.08; posterior probability of an increase = 97.3%) for females with brood patches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brood patches and 1.95 (95% CI: 0.62–5.94; posterior probability of an increase = 88.0%) for females with brood patches.</w:t>
      </w:r>
    </w:p>
    <w:bookmarkEnd w:id="13"/>
    <w:bookmarkStart w:id="14" w:name="discussion"/>
    <w:p>
      <w:pPr>
        <w:pStyle w:val="Heading1"/>
      </w:pPr>
      <w:r>
        <w:t xml:space="preserve">Discussion</w:t>
      </w:r>
    </w:p>
    <w:p>
      <w:pPr>
        <w:pStyle w:val="FirstParagraph"/>
      </w:pPr>
      <w:r>
        <w:t xml:space="preserve">Our results show that the self-imposed rules were reasonably effective early in the study period when between 7% and 35% of the female harvest before 2005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brood patches and, less certainly, in females with brood patches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brood patches,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yr.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w:t>
      </w:r>
      <w:r>
        <w:t xml:space="preserve">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In fact, the decision was largely based on the absence of a</w:t>
      </w:r>
      <w:r>
        <w:t xml:space="preserve"> </w:t>
      </w:r>
      <w:r>
        <w:t xml:space="preserve">‘disaster year’</w:t>
      </w:r>
      <w:r>
        <w:t xml:space="preserve"> </w:t>
      </w:r>
      <w:r>
        <w:t xml:space="preserve">(i.e., years with no or exceptionally low breeding success, as observed from the absence of fledglings in the colony) since 2013, and it is likely an objective observer would not consider colony health to have improved between 2008 and 2021</w:t>
      </w:r>
      <w:r>
        <w:t xml:space="preserve"> </w:t>
      </w:r>
      <w:r>
        <w:t xml:space="preserve">(see the yearly breeding season descriptions in J.-K. Jensen, 2021, with links to earlier years)</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likely exceeded the recruitment rate and population decline was probably only delayed by the immigration of immature puffins from elsewhere. Considering the reported global decline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4"/>
    <w:bookmarkStart w:id="15"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5"/>
    <w:bookmarkStart w:id="16" w:name="author-contributions"/>
    <w:p>
      <w:pPr>
        <w:pStyle w:val="Heading1"/>
      </w:pPr>
      <w:r>
        <w:t xml:space="preserve">Author contributions</w:t>
      </w:r>
    </w:p>
    <w:p>
      <w:pPr>
        <w:pStyle w:val="FirstParagraph"/>
      </w:pPr>
      <w:r>
        <w:t xml:space="preserve">Conceptualization: AA, JKJ. Data curation: AA, JKJ. Formal analysis: AA. Investigation: JKJ. Methodology: AA, JKJ. Resources: JKJ. Validation: AA. Visualization: AA. Writing—original draft: AA. Writing—review &amp; editing: all coauthors.</w:t>
      </w:r>
    </w:p>
    <w:bookmarkEnd w:id="16"/>
    <w:bookmarkStart w:id="19"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7">
        <w:r>
          <w:rPr>
            <w:rStyle w:val="Hyperlink"/>
          </w:rPr>
          <w:t xml:space="preserve">https://github.com/AnneAus/puffin_female_harvest</w:t>
        </w:r>
      </w:hyperlink>
      <w:r>
        <w:t xml:space="preserve">, archived at Zenodo:</w:t>
      </w:r>
      <w:r>
        <w:t xml:space="preserve"> </w:t>
      </w:r>
      <w:hyperlink r:id="rId18">
        <w:r>
          <w:rPr>
            <w:rStyle w:val="Hyperlink"/>
          </w:rPr>
          <w:t xml:space="preserve">https://doi.org/10.5281/zenodo.23393736</w:t>
        </w:r>
      </w:hyperlink>
      <w:r>
        <w:t xml:space="preserve"> </w:t>
      </w:r>
      <w:r>
        <w:t xml:space="preserve">(Ausems &amp; Jensen, 2026)</w:t>
      </w:r>
      <w:r>
        <w:t xml:space="preserve">.</w:t>
      </w:r>
    </w:p>
    <w:bookmarkEnd w:id="19"/>
    <w:bookmarkStart w:id="117" w:name="references"/>
    <w:p>
      <w:pPr>
        <w:pStyle w:val="Heading1"/>
      </w:pPr>
      <w:r>
        <w:t xml:space="preserve">REFERENCES</w:t>
      </w:r>
    </w:p>
    <w:bookmarkStart w:id="94" w:name="refs"/>
    <w:bookmarkStart w:id="21" w:name="ref-ashcroftSurvivalRatesBreeding1979"/>
    <w:p>
      <w:pPr>
        <w:pStyle w:val="Bibliography"/>
      </w:pPr>
      <w:r>
        <w:t xml:space="preserve">Ashcroft, R. E. (1979). Survival rates and breeding biology 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20">
        <w:r>
          <w:rPr>
            <w:rStyle w:val="Hyperlink"/>
          </w:rPr>
          <w:t xml:space="preserve">https://doi.org/10.2307/3676349</w:t>
        </w:r>
      </w:hyperlink>
    </w:p>
    <w:bookmarkEnd w:id="21"/>
    <w:bookmarkStart w:id="23" w:name="ref-ausemsVariationFoodAvailability2026"/>
    <w:p>
      <w:pPr>
        <w:pStyle w:val="Bibliography"/>
      </w:pPr>
      <w:r>
        <w:t xml:space="preserve">Ausems, A. N. M. A., Jakubas, D., Jensen, J.-K.,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 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2">
        <w:r>
          <w:rPr>
            <w:rStyle w:val="Hyperlink"/>
          </w:rPr>
          <w:t xml:space="preserve">https://doi.org/10.1002/wlb3.01546</w:t>
        </w:r>
      </w:hyperlink>
    </w:p>
    <w:bookmarkEnd w:id="23"/>
    <w:bookmarkStart w:id="24" w:name="X5001aa68545cec2af7068c5799e4bc0a6cad2bc"/>
    <w:p>
      <w:pPr>
        <w:pStyle w:val="Bibliography"/>
      </w:pPr>
      <w:r>
        <w:t xml:space="preserve">Ausems, A. N. M. A., &amp; Jensen, J.-K. (2026).</w:t>
      </w:r>
      <w:r>
        <w:t xml:space="preserve"> </w:t>
      </w:r>
      <w:r>
        <w:rPr>
          <w:i/>
          <w:iCs/>
        </w:rPr>
        <w:t xml:space="preserve">puffin_female_harvest</w:t>
      </w:r>
      <w:r>
        <w:rPr>
          <w:i/>
          <w:iCs/>
        </w:rPr>
        <w:t xml:space="preserve">: Code and data for</w:t>
      </w:r>
      <w:r>
        <w:rPr>
          <w:i/>
          <w:iCs/>
        </w:rPr>
        <w:t xml:space="preserve"> </w:t>
      </w:r>
      <w:r>
        <w:rPr>
          <w:i/>
          <w:iCs/>
        </w:rPr>
        <w:t xml:space="preserve">“</w:t>
      </w:r>
      <w:r>
        <w:rPr>
          <w:i/>
          <w:iCs/>
        </w:rPr>
        <w:t xml:space="preserve">Pre</w:t>
      </w:r>
      <w:r>
        <w:rPr>
          <w:i/>
          <w:iCs/>
        </w:rPr>
        <w:t xml:space="preserve">-breeding</w:t>
      </w:r>
      <w:r>
        <w:rPr>
          <w:i/>
          <w:iCs/>
        </w:rPr>
        <w:t xml:space="preserve"> </w:t>
      </w:r>
      <w:r>
        <w:rPr>
          <w:i/>
          <w:iCs/>
        </w:rPr>
        <w:t xml:space="preserve">Atlantic Puffins</w:t>
      </w:r>
      <w:r>
        <w:rPr>
          <w:i/>
          <w:iCs/>
        </w:rPr>
        <w:t xml:space="preserve"> </w:t>
      </w:r>
      <w:r>
        <w:rPr>
          <w:i/>
          <w:i/>
          <w:iCs/>
          <w:iCs/>
        </w:rPr>
        <w:t xml:space="preserve">Fratercula arctica</w:t>
      </w:r>
      <w:r>
        <w:rPr>
          <w:i/>
          <w:iCs/>
        </w:rPr>
        <w:t xml:space="preserve"> </w:t>
      </w:r>
      <w:r>
        <w:rPr>
          <w:i/>
          <w:iCs/>
        </w:rPr>
        <w:t xml:space="preserve">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v1.1.0) [Dataset]. Zenodo.</w:t>
      </w:r>
      <w:r>
        <w:t xml:space="preserve"> </w:t>
      </w:r>
      <w:hyperlink r:id="rId18">
        <w:r>
          <w:rPr>
            <w:rStyle w:val="Hyperlink"/>
          </w:rPr>
          <w:t xml:space="preserve">https://doi.org/10.5281/zenodo.23393736</w:t>
        </w:r>
      </w:hyperlink>
    </w:p>
    <w:bookmarkEnd w:id="24"/>
    <w:bookmarkStart w:id="26" w:name="ref-baileyIncubationPatchPasserine1952"/>
    <w:p>
      <w:pPr>
        <w:pStyle w:val="Bibliography"/>
      </w:pPr>
      <w:r>
        <w:t xml:space="preserve">Bailey, R. E. (1952). The incubation patch of passerine birds.</w:t>
      </w:r>
      <w:r>
        <w:t xml:space="preserve"> </w:t>
      </w:r>
      <w:r>
        <w:rPr>
          <w:i/>
          <w:iCs/>
        </w:rPr>
        <w:t xml:space="preserve">The Condor</w:t>
      </w:r>
      <w:r>
        <w:t xml:space="preserve">,</w:t>
      </w:r>
      <w:r>
        <w:t xml:space="preserve"> </w:t>
      </w:r>
      <w:r>
        <w:rPr>
          <w:i/>
          <w:iCs/>
        </w:rPr>
        <w:t xml:space="preserve">54</w:t>
      </w:r>
      <w:r>
        <w:t xml:space="preserve">(3), 121–136.</w:t>
      </w:r>
      <w:r>
        <w:t xml:space="preserve"> </w:t>
      </w:r>
      <w:hyperlink r:id="rId25">
        <w:r>
          <w:rPr>
            <w:rStyle w:val="Hyperlink"/>
          </w:rPr>
          <w:t xml:space="preserve">https://doi.org/10.2307/1365062</w:t>
        </w:r>
      </w:hyperlink>
    </w:p>
    <w:bookmarkEnd w:id="26"/>
    <w:bookmarkStart w:id="28"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w:t>
      </w:r>
      <w:r>
        <w:rPr>
          <w:i/>
          <w:iCs/>
        </w:rPr>
        <w:t xml:space="preserve"> </w:t>
      </w:r>
      <w:r>
        <w:rPr>
          <w:i/>
          <w:iCs/>
        </w:rPr>
        <w:t xml:space="preserve">e.T22694927A132581443</w:t>
      </w:r>
      <w:r>
        <w:t xml:space="preserve">.</w:t>
      </w:r>
      <w:r>
        <w:t xml:space="preserve"> </w:t>
      </w:r>
      <w:hyperlink r:id="rId27">
        <w:r>
          <w:rPr>
            <w:rStyle w:val="Hyperlink"/>
          </w:rPr>
          <w:t xml:space="preserve">https://doi.org/10.2305/IUCN.UK.2018-2.RLTS.T22694927A132581443.en</w:t>
        </w:r>
      </w:hyperlink>
    </w:p>
    <w:bookmarkEnd w:id="28"/>
    <w:bookmarkStart w:id="30"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 arctica</w:t>
      </w:r>
      <w:r>
        <w:t xml:space="preserve">.</w:t>
      </w:r>
      <w:r>
        <w:t xml:space="preserve"> </w:t>
      </w:r>
      <w:hyperlink r:id="rId29">
        <w:r>
          <w:rPr>
            <w:rStyle w:val="Hyperlink"/>
          </w:rPr>
          <w:t xml:space="preserve">https://datazone.birdlife.org/species/factsheet/atlantic-puffin-fratercula-arctica</w:t>
        </w:r>
      </w:hyperlink>
    </w:p>
    <w:bookmarkEnd w:id="30"/>
    <w:bookmarkStart w:id="32"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31">
        <w:r>
          <w:rPr>
            <w:rStyle w:val="Hyperlink"/>
          </w:rPr>
          <w:t xml:space="preserve">https://doi.org/10.18637/jss.v080.i01</w:t>
        </w:r>
      </w:hyperlink>
    </w:p>
    <w:bookmarkEnd w:id="32"/>
    <w:bookmarkStart w:id="34"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3">
        <w:r>
          <w:rPr>
            <w:rStyle w:val="Hyperlink"/>
          </w:rPr>
          <w:t xml:space="preserve">https://doi.org/10.1002/ecs2.1283</w:t>
        </w:r>
      </w:hyperlink>
    </w:p>
    <w:bookmarkEnd w:id="34"/>
    <w:bookmarkStart w:id="36"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5">
        <w:r>
          <w:rPr>
            <w:rStyle w:val="Hyperlink"/>
          </w:rPr>
          <w:t xml:space="preserve">https://doi.org/10.1016/j.cub.2021.06.059</w:t>
        </w:r>
      </w:hyperlink>
    </w:p>
    <w:bookmarkEnd w:id="36"/>
    <w:bookmarkStart w:id="38"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7">
        <w:r>
          <w:rPr>
            <w:rStyle w:val="Hyperlink"/>
          </w:rPr>
          <w:t xml:space="preserve">https://doi.org/10.1016/j.biocon.2019.06.033</w:t>
        </w:r>
      </w:hyperlink>
    </w:p>
    <w:bookmarkEnd w:id="38"/>
    <w:bookmarkStart w:id="40"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39">
        <w:r>
          <w:rPr>
            <w:rStyle w:val="Hyperlink"/>
          </w:rPr>
          <w:t xml:space="preserve">https://doi.org/10.1111/j.0030-1299.2004.13119.x</w:t>
        </w:r>
      </w:hyperlink>
    </w:p>
    <w:bookmarkEnd w:id="40"/>
    <w:bookmarkStart w:id="42"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41">
        <w:r>
          <w:rPr>
            <w:rStyle w:val="Hyperlink"/>
          </w:rPr>
          <w:t xml:space="preserve">https://doi.org/10.1111/j.1461-0248.2004.00588.x</w:t>
        </w:r>
      </w:hyperlink>
    </w:p>
    <w:bookmarkEnd w:id="42"/>
    <w:bookmarkStart w:id="44"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(5), 1152–1164.</w:t>
      </w:r>
      <w:r>
        <w:t xml:space="preserve"> </w:t>
      </w:r>
      <w:hyperlink r:id="rId43">
        <w:r>
          <w:rPr>
            <w:rStyle w:val="Hyperlink"/>
          </w:rPr>
          <w:t xml:space="preserve">https://doi.org/10.1111/1365-2656.13442</w:t>
        </w:r>
      </w:hyperlink>
    </w:p>
    <w:bookmarkEnd w:id="44"/>
    <w:bookmarkStart w:id="46" w:name="X402cb5e1a4e69ff49497d0188bad825f79b15d6"/>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5">
        <w:r>
          <w:rPr>
            <w:rStyle w:val="Hyperlink"/>
          </w:rPr>
          <w:t xml:space="preserve">https://doi.org/10.1111/rssa.12378</w:t>
        </w:r>
      </w:hyperlink>
    </w:p>
    <w:bookmarkEnd w:id="46"/>
    <w:bookmarkStart w:id="48"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7">
        <w:r>
          <w:rPr>
            <w:rStyle w:val="Hyperlink"/>
          </w:rPr>
          <w:t xml:space="preserve">https://www3.stat.sinica.edu.tw/statistica/j6n4/j6n41/j6n41.htm</w:t>
        </w:r>
      </w:hyperlink>
    </w:p>
    <w:bookmarkEnd w:id="48"/>
    <w:bookmarkStart w:id="49"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9"/>
    <w:bookmarkStart w:id="51"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50">
        <w:r>
          <w:rPr>
            <w:rStyle w:val="Hyperlink"/>
          </w:rPr>
          <w:t xml:space="preserve">https://doi.org/10.1111/j.0030-1299.2005.13351.x</w:t>
        </w:r>
      </w:hyperlink>
    </w:p>
    <w:bookmarkEnd w:id="51"/>
    <w:bookmarkStart w:id="53" w:name="ref-jensenBreedingSeason2021"/>
    <w:p>
      <w:pPr>
        <w:pStyle w:val="Bibliography"/>
      </w:pPr>
      <w:r>
        <w:t xml:space="preserve">Jensen, J.-K. (2021).</w:t>
      </w:r>
      <w:r>
        <w:t xml:space="preserve"> </w:t>
      </w:r>
      <w:r>
        <w:rPr>
          <w:i/>
          <w:iCs/>
        </w:rPr>
        <w:t xml:space="preserve">Støðan hjá búfuglinum 2021 –</w:t>
      </w:r>
      <w:r>
        <w:rPr>
          <w:i/>
          <w:iCs/>
        </w:rPr>
        <w:t xml:space="preserve"> </w:t>
      </w:r>
      <w:r>
        <w:rPr>
          <w:i/>
          <w:iCs/>
        </w:rPr>
        <w:t xml:space="preserve">Ynglesæsonen</w:t>
      </w:r>
      <w:r>
        <w:rPr>
          <w:i/>
          <w:iCs/>
        </w:rPr>
        <w:t xml:space="preserve"> </w:t>
      </w:r>
      <w:r>
        <w:rPr>
          <w:i/>
          <w:iCs/>
        </w:rPr>
        <w:t xml:space="preserve">2021 –</w:t>
      </w:r>
      <w:r>
        <w:rPr>
          <w:i/>
          <w:iCs/>
        </w:rPr>
        <w:t xml:space="preserve"> </w:t>
      </w:r>
      <w:r>
        <w:rPr>
          <w:i/>
          <w:iCs/>
        </w:rPr>
        <w:t xml:space="preserve">Breeding</w:t>
      </w:r>
      <w:r>
        <w:rPr>
          <w:i/>
          <w:iCs/>
        </w:rPr>
        <w:t xml:space="preserve"> </w:t>
      </w:r>
      <w:r>
        <w:rPr>
          <w:i/>
          <w:iCs/>
        </w:rPr>
        <w:t xml:space="preserve">season 2021</w:t>
      </w:r>
      <w:r>
        <w:t xml:space="preserve">. Retrieved October 14, 2026, from</w:t>
      </w:r>
      <w:r>
        <w:t xml:space="preserve"> </w:t>
      </w:r>
      <w:hyperlink r:id="rId52">
        <w:r>
          <w:rPr>
            <w:rStyle w:val="Hyperlink"/>
          </w:rPr>
          <w:t xml:space="preserve">https://www.jenskjeld.info/artikler/season21.html</w:t>
        </w:r>
      </w:hyperlink>
    </w:p>
    <w:bookmarkEnd w:id="53"/>
    <w:bookmarkStart w:id="54"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4"/>
    <w:bookmarkStart w:id="55"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fuglafrøðifelag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5"/>
    <w:bookmarkStart w:id="56"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6"/>
    <w:bookmarkStart w:id="58"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7">
        <w:r>
          <w:rPr>
            <w:rStyle w:val="Hyperlink"/>
          </w:rPr>
          <w:t xml:space="preserve">https://doi.org/10.1002/2688-8319.12390</w:t>
        </w:r>
      </w:hyperlink>
    </w:p>
    <w:bookmarkEnd w:id="58"/>
    <w:bookmarkStart w:id="60"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9">
        <w:r>
          <w:rPr>
            <w:rStyle w:val="Hyperlink"/>
          </w:rPr>
          <w:t xml:space="preserve">https://www.researchgate.net/publication/381954204_Icelandic_puffin_stock_assessments_2024</w:t>
        </w:r>
      </w:hyperlink>
    </w:p>
    <w:bookmarkEnd w:id="60"/>
    <w:bookmarkStart w:id="62" w:name="ref-jonesIncubationPatchBirds1971"/>
    <w:p>
      <w:pPr>
        <w:pStyle w:val="Bibliography"/>
      </w:pPr>
      <w:r>
        <w:t xml:space="preserve">Jones, R. E. (1971). The incubation patch of birds.</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61">
        <w:r>
          <w:rPr>
            <w:rStyle w:val="Hyperlink"/>
          </w:rPr>
          <w:t xml:space="preserve">https://doi.org/10.1111/j.1469-185X.1971.tb01048.x</w:t>
        </w:r>
      </w:hyperlink>
    </w:p>
    <w:bookmarkEnd w:id="62"/>
    <w:bookmarkStart w:id="63" w:name="Xe19625febeb906ccdb6e58cd53cb47af33dcf28"/>
    <w:p>
      <w:pPr>
        <w:pStyle w:val="Bibliography"/>
      </w:pPr>
      <w:r>
        <w:t xml:space="preserve">Løgtingslóg um fuglaveiðu, sum seinast broytt við løgtingslóg nr. 70 frá 22. mai 2023 (1984).</w:t>
      </w:r>
    </w:p>
    <w:bookmarkEnd w:id="63"/>
    <w:bookmarkStart w:id="65" w:name="ref-lowtherAtlanticPuffinFratercula2020"/>
    <w:p>
      <w:pPr>
        <w:pStyle w:val="Bibliography"/>
      </w:pPr>
      <w:r>
        <w:t xml:space="preserve">Lowther, P. E., Diamond, A. W., Kress, S. W., Robertson, G. J., Russell, K., Nettleship, D. N., Kirwan, G. M., Christie, D. A., Sharpe, C. J., Garcia, E. F. J., &amp; Boesman, P. F. D. (2020). Atlantic puffin (</w:t>
      </w:r>
      <w:r>
        <w:rPr>
          <w:i/>
          <w:iCs/>
        </w:rPr>
        <w:t xml:space="preserve">Fratercula arctica</w:t>
      </w:r>
      <w:r>
        <w:t xml:space="preserve">), ver. 1.0. In S. M. Billerman (Ed.),</w:t>
      </w:r>
      <w:r>
        <w:t xml:space="preserve"> </w:t>
      </w:r>
      <w:r>
        <w:rPr>
          <w:i/>
          <w:iCs/>
        </w:rPr>
        <w:t xml:space="preserve">Birds of the world</w:t>
      </w:r>
      <w:r>
        <w:t xml:space="preserve">. Cornell Laboratory of Ornithology.</w:t>
      </w:r>
      <w:r>
        <w:t xml:space="preserve"> </w:t>
      </w:r>
      <w:hyperlink r:id="rId64">
        <w:r>
          <w:rPr>
            <w:rStyle w:val="Hyperlink"/>
          </w:rPr>
          <w:t xml:space="preserve">https://doi.org/10.2173/bow.atlpuf.01</w:t>
        </w:r>
      </w:hyperlink>
    </w:p>
    <w:bookmarkEnd w:id="65"/>
    <w:bookmarkStart w:id="67"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rPr>
          <w:i/>
          <w:iCs/>
        </w:rPr>
        <w:t xml:space="preserve">Fratercula arctica</w:t>
      </w:r>
      <w:r>
        <w:t xml:space="preserve">) and</w:t>
      </w:r>
      <w:r>
        <w:t xml:space="preserve"> </w:t>
      </w:r>
      <w:r>
        <w:t xml:space="preserve">Razorbill</w:t>
      </w:r>
      <w:r>
        <w:t xml:space="preserve"> </w:t>
      </w:r>
      <w:r>
        <w:t xml:space="preserve">(</w:t>
      </w:r>
      <w:r>
        <w:rPr>
          <w:i/>
          <w:iCs/>
        </w:rPr>
        <w:t xml:space="preserve">Alca torda</w:t>
      </w:r>
      <w:r>
        <w:t xml:space="preserve">)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6">
        <w:r>
          <w:rPr>
            <w:rStyle w:val="Hyperlink"/>
          </w:rPr>
          <w:t xml:space="preserve">https://doi.org/10.1525/elementa.2021.00033</w:t>
        </w:r>
      </w:hyperlink>
    </w:p>
    <w:bookmarkEnd w:id="67"/>
    <w:bookmarkStart w:id="69" w:name="X958f21470482a6a06ce614515743210bd9f3c46"/>
    <w:p>
      <w:pPr>
        <w:pStyle w:val="Bibliography"/>
      </w:pPr>
      <w:r>
        <w:t xml:space="preserve">McFarlane Tranquilla, L. A., Bradley, R. W., Lank, D. B., Williams, T. D., Lougheed, L. W., &amp; Cooke, F. (2003). The reliability of brood patches in assessing reproductive status in the</w:t>
      </w:r>
      <w:r>
        <w:t xml:space="preserve"> </w:t>
      </w:r>
      <w:r>
        <w:t xml:space="preserve">Marbled Murrelet</w:t>
      </w:r>
      <w:r>
        <w:t xml:space="preserve">:</w:t>
      </w:r>
      <w:r>
        <w:t xml:space="preserve"> </w:t>
      </w:r>
      <w:r>
        <w:t xml:space="preserve">Words</w:t>
      </w:r>
      <w:r>
        <w:t xml:space="preserve"> </w:t>
      </w:r>
      <w:r>
        <w:t xml:space="preserve">of caution.</w:t>
      </w:r>
      <w:r>
        <w:t xml:space="preserve"> </w:t>
      </w:r>
      <w:r>
        <w:rPr>
          <w:i/>
          <w:iCs/>
        </w:rPr>
        <w:t xml:space="preserve">Waterbirds</w:t>
      </w:r>
      <w:r>
        <w:t xml:space="preserve">,</w:t>
      </w:r>
      <w:r>
        <w:t xml:space="preserve"> </w:t>
      </w:r>
      <w:r>
        <w:rPr>
          <w:i/>
          <w:iCs/>
        </w:rPr>
        <w:t xml:space="preserve">26</w:t>
      </w:r>
      <w:r>
        <w:t xml:space="preserve">(1), 108–118.</w:t>
      </w:r>
      <w:r>
        <w:t xml:space="preserve"> </w:t>
      </w:r>
      <w:hyperlink r:id="rId68">
        <w:r>
          <w:rPr>
            <w:rStyle w:val="Hyperlink"/>
          </w:rPr>
          <w:t xml:space="preserve">https://doi.org/10.1675/1524-4695(2003)026[0108:TROBPI]2.0.CO;2</w:t>
        </w:r>
      </w:hyperlink>
    </w:p>
    <w:bookmarkEnd w:id="69"/>
    <w:bookmarkStart w:id="71"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w:t>
      </w:r>
      <w:r>
        <w:t xml:space="preserve"> </w:t>
      </w:r>
      <w:r>
        <w:t xml:space="preserve">population:</w:t>
      </w:r>
      <w:r>
        <w:t xml:space="preserve"> </w:t>
      </w:r>
      <w:r>
        <w:t xml:space="preserve">Evaluation</w:t>
      </w:r>
      <w:r>
        <w:t xml:space="preserve"> </w:t>
      </w:r>
      <w:r>
        <w:t xml:space="preserve">of magnitude and mechanisms.</w:t>
      </w:r>
      <w:r>
        <w:t xml:space="preserve"> </w:t>
      </w:r>
      <w:r>
        <w:rPr>
          <w:i/>
          <w:iCs/>
        </w:rPr>
        <w:t xml:space="preserve">PLOS ONE</w:t>
      </w:r>
      <w:r>
        <w:t xml:space="preserve">,</w:t>
      </w:r>
      <w:r>
        <w:t xml:space="preserve"> </w:t>
      </w:r>
      <w:r>
        <w:rPr>
          <w:i/>
          <w:iCs/>
        </w:rPr>
        <w:t xml:space="preserve">10</w:t>
      </w:r>
      <w:r>
        <w:t xml:space="preserve">(7), e0131527.</w:t>
      </w:r>
      <w:r>
        <w:t xml:space="preserve"> </w:t>
      </w:r>
      <w:hyperlink r:id="rId70">
        <w:r>
          <w:rPr>
            <w:rStyle w:val="Hyperlink"/>
          </w:rPr>
          <w:t xml:space="preserve">https://doi.org/10.1371/journal.pone.0131527</w:t>
        </w:r>
      </w:hyperlink>
    </w:p>
    <w:bookmarkEnd w:id="71"/>
    <w:bookmarkStart w:id="73"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2">
        <w:r>
          <w:rPr>
            <w:rStyle w:val="Hyperlink"/>
          </w:rPr>
          <w:t xml:space="preserve">https://www.nature.scot/latest-guga-hunt-statement</w:t>
        </w:r>
      </w:hyperlink>
    </w:p>
    <w:bookmarkEnd w:id="73"/>
    <w:bookmarkStart w:id="75"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4">
        <w:r>
          <w:rPr>
            <w:rStyle w:val="Hyperlink"/>
          </w:rPr>
          <w:t xml:space="preserve">https://doi.org/10.1111/j.1755-263X.2009.00049.x</w:t>
        </w:r>
      </w:hyperlink>
    </w:p>
    <w:bookmarkEnd w:id="75"/>
    <w:bookmarkStart w:id="77"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6">
        <w:r>
          <w:rPr>
            <w:rStyle w:val="Hyperlink"/>
          </w:rPr>
          <w:t xml:space="preserve">https://doi.org/10.1016/S0169-5347(00)89171-5</w:t>
        </w:r>
      </w:hyperlink>
    </w:p>
    <w:bookmarkEnd w:id="77"/>
    <w:bookmarkStart w:id="79"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8">
        <w:r>
          <w:rPr>
            <w:rStyle w:val="Hyperlink"/>
          </w:rPr>
          <w:t xml:space="preserve">https://doi.org/10.32614/R.manuals</w:t>
        </w:r>
      </w:hyperlink>
    </w:p>
    <w:bookmarkEnd w:id="79"/>
    <w:bookmarkStart w:id="81"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80">
        <w:r>
          <w:rPr>
            <w:rStyle w:val="Hyperlink"/>
          </w:rPr>
          <w:t xml:space="preserve">https://doi.org/10.1098/rspb.2005.3175</w:t>
        </w:r>
      </w:hyperlink>
    </w:p>
    <w:bookmarkEnd w:id="81"/>
    <w:bookmarkStart w:id="83" w:name="ref-sandvikHighSurvivalImmatures2008"/>
    <w:p>
      <w:pPr>
        <w:pStyle w:val="Bibliography"/>
      </w:pPr>
      <w:r>
        <w:t xml:space="preserve">Sandvik, H., Erikstad, K. E., Fauchald, P., &amp; Tveraa, T. (2008). High survival of immatures in a long-lived seabird:</w:t>
      </w:r>
      <w:r>
        <w:t xml:space="preserve"> </w:t>
      </w:r>
      <w:r>
        <w:t xml:space="preserve">Insights</w:t>
      </w:r>
      <w:r>
        <w:t xml:space="preserve"> </w:t>
      </w:r>
      <w:r>
        <w:t xml:space="preserve">from a long-term study of the</w:t>
      </w:r>
      <w:r>
        <w:t xml:space="preserve"> </w:t>
      </w:r>
      <w:r>
        <w:t xml:space="preserve">Atlantic</w:t>
      </w:r>
      <w:r>
        <w:t xml:space="preserve"> </w:t>
      </w:r>
      <w:r>
        <w:t xml:space="preserve">puffin (</w:t>
      </w:r>
      <w:r>
        <w:rPr>
          <w:i/>
          <w:iCs/>
        </w:rPr>
        <w:t xml:space="preserve">Fratercula arctica</w:t>
      </w:r>
      <w:r>
        <w:t xml:space="preserve">).</w:t>
      </w:r>
      <w:r>
        <w:t xml:space="preserve"> </w:t>
      </w:r>
      <w:r>
        <w:rPr>
          <w:i/>
          <w:iCs/>
        </w:rPr>
        <w:t xml:space="preserve">The Auk</w:t>
      </w:r>
      <w:r>
        <w:t xml:space="preserve">,</w:t>
      </w:r>
      <w:r>
        <w:t xml:space="preserve"> </w:t>
      </w:r>
      <w:r>
        <w:rPr>
          <w:i/>
          <w:iCs/>
        </w:rPr>
        <w:t xml:space="preserve">125</w:t>
      </w:r>
      <w:r>
        <w:t xml:space="preserve">(3), 723–730.</w:t>
      </w:r>
      <w:r>
        <w:t xml:space="preserve"> </w:t>
      </w:r>
      <w:hyperlink r:id="rId82">
        <w:r>
          <w:rPr>
            <w:rStyle w:val="Hyperlink"/>
          </w:rPr>
          <w:t xml:space="preserve">https://doi.org/10.1525/auk.2008.07059</w:t>
        </w:r>
      </w:hyperlink>
    </w:p>
    <w:bookmarkEnd w:id="83"/>
    <w:bookmarkStart w:id="84"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 95–99.</w:t>
      </w:r>
    </w:p>
    <w:bookmarkEnd w:id="84"/>
    <w:bookmarkStart w:id="86"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5">
        <w:r>
          <w:rPr>
            <w:rStyle w:val="Hyperlink"/>
          </w:rPr>
          <w:t xml:space="preserve">https://doi.org/10.1002/fee.70049</w:t>
        </w:r>
      </w:hyperlink>
    </w:p>
    <w:bookmarkEnd w:id="86"/>
    <w:bookmarkStart w:id="88" w:name="ref-vanfraneker2004"/>
    <w:p>
      <w:pPr>
        <w:pStyle w:val="Bibliography"/>
      </w:pPr>
      <w:r>
        <w:t xml:space="preserve">Van Franeker, J. A. (2004).</w:t>
      </w:r>
      <w:r>
        <w:t xml:space="preserve"> </w:t>
      </w:r>
      <w:r>
        <w:rPr>
          <w:i/>
          <w:iCs/>
        </w:rPr>
        <w:t xml:space="preserve">Save the</w:t>
      </w:r>
      <w:r>
        <w:rPr>
          <w:i/>
          <w:iCs/>
        </w:rPr>
        <w:t xml:space="preserve"> </w:t>
      </w:r>
      <w:r>
        <w:rPr>
          <w:i/>
          <w:iCs/>
        </w:rPr>
        <w:t xml:space="preserve">North Sea Fulmar-Litter-EcoQO</w:t>
      </w:r>
      <w:r>
        <w:rPr>
          <w:i/>
          <w:iCs/>
        </w:rPr>
        <w:t xml:space="preserve"> </w:t>
      </w:r>
      <w:r>
        <w:rPr>
          <w:i/>
          <w:iCs/>
        </w:rPr>
        <w:t xml:space="preserve">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7">
        <w:r>
          <w:rPr>
            <w:rStyle w:val="Hyperlink"/>
          </w:rPr>
          <w:t xml:space="preserve">https://edepot.wur.nl/40451</w:t>
        </w:r>
      </w:hyperlink>
    </w:p>
    <w:bookmarkEnd w:id="88"/>
    <w:bookmarkStart w:id="90"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89">
        <w:r>
          <w:rPr>
            <w:rStyle w:val="Hyperlink"/>
          </w:rPr>
          <w:t xml:space="preserve">https://doi.org/10.1007/s11222-016-9696-4</w:t>
        </w:r>
      </w:hyperlink>
    </w:p>
    <w:bookmarkEnd w:id="90"/>
    <w:bookmarkStart w:id="92" w:name="Xb381b5d8d6d3401bbb0133a1c086c6f6782b533"/>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91">
        <w:r>
          <w:rPr>
            <w:rStyle w:val="Hyperlink"/>
          </w:rPr>
          <w:t xml:space="preserve">https://doi.org/10.1214/20-BA1221</w:t>
        </w:r>
      </w:hyperlink>
    </w:p>
    <w:bookmarkEnd w:id="92"/>
    <w:bookmarkStart w:id="93"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3"/>
    <w:bookmarkEnd w:id="94"/>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brood patches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99" w:name="fig-map"/>
          <w:p>
            <w:pPr>
              <w:pStyle w:val="Compact"/>
              <w:jc w:val="center"/>
            </w:pPr>
            <w:bookmarkStart w:id="98" w:name="fig-map"/>
            <w:r>
              <w:drawing>
                <wp:inline>
                  <wp:extent cx="5943600" cy="6028508"/>
                  <wp:effectExtent b="0" l="0" r="0" t="0"/>
                  <wp:docPr descr="" title="" id="96" name="Picture"/>
                  <a:graphic>
                    <a:graphicData uri="http://schemas.openxmlformats.org/drawingml/2006/picture">
                      <pic:pic>
                        <pic:nvPicPr>
                          <pic:cNvPr descr="manuscript_files/figure-docx/fig-map-1.png" id="97" name="Picture"/>
                          <pic:cNvPicPr>
                            <a:picLocks noChangeArrowheads="1" noChangeAspect="1"/>
                          </pic:cNvPicPr>
                        </pic:nvPicPr>
                        <pic:blipFill>
                          <a:blip r:embed="rId95"/>
                          <a:stretch>
                            <a:fillRect/>
                          </a:stretch>
                        </pic:blipFill>
                        <pic:spPr bwMode="auto">
                          <a:xfrm>
                            <a:off x="0" y="0"/>
                            <a:ext cx="5943600" cy="6028508"/>
                          </a:xfrm>
                          <a:prstGeom prst="rect">
                            <a:avLst/>
                          </a:prstGeom>
                          <a:noFill/>
                          <a:ln w="9525">
                            <a:noFill/>
                            <a:headEnd/>
                            <a:tailEnd/>
                          </a:ln>
                        </pic:spPr>
                      </pic:pic>
                    </a:graphicData>
                  </a:graphic>
                </wp:inline>
              </w:drawing>
            </w:r>
            <w:bookmarkEnd w:id="98"/>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99"/>
        </w:tc>
      </w:tr>
    </w:tbl>
    <w:p>
      <w:r>
        <w:br w:type="page"/>
      </w:r>
    </w:p>
    <w:tbl>
      <w:tblPr>
        <w:tblStyle w:val="Table"/>
        <w:tblW w:type="pct" w:w="5000"/>
        <w:tblLayout w:type="fixed"/>
        <w:tblLook w:firstRow="0" w:lastRow="0" w:firstColumn="0" w:lastColumn="0" w:noHBand="0" w:noVBand="0" w:val="0000"/>
      </w:tblPr>
      <w:tblGrid>
        <w:gridCol w:w="7920"/>
      </w:tblGrid>
      <w:tr>
        <w:tc>
          <w:tcPr/>
          <w:bookmarkStart w:id="104" w:name="fig-marg-bar"/>
          <w:p>
            <w:pPr>
              <w:pStyle w:val="Compact"/>
              <w:jc w:val="center"/>
            </w:pPr>
            <w:bookmarkStart w:id="103" w:name="fig-marg-bar"/>
            <w:r>
              <w:drawing>
                <wp:inline>
                  <wp:extent cx="5943600" cy="4245428"/>
                  <wp:effectExtent b="0" l="0" r="0" t="0"/>
                  <wp:docPr descr="" title="" id="101" name="Picture"/>
                  <a:graphic>
                    <a:graphicData uri="http://schemas.openxmlformats.org/drawingml/2006/picture">
                      <pic:pic>
                        <pic:nvPicPr>
                          <pic:cNvPr descr="manuscript_files/figure-docx/fig-marg-bar-1.png" id="102" name="Picture"/>
                          <pic:cNvPicPr>
                            <a:picLocks noChangeArrowheads="1" noChangeAspect="1"/>
                          </pic:cNvPicPr>
                        </pic:nvPicPr>
                        <pic:blipFill>
                          <a:blip r:embed="rId100"/>
                          <a:stretch>
                            <a:fillRect/>
                          </a:stretch>
                        </pic:blipFill>
                        <pic:spPr bwMode="auto">
                          <a:xfrm>
                            <a:off x="0" y="0"/>
                            <a:ext cx="5943600" cy="4245428"/>
                          </a:xfrm>
                          <a:prstGeom prst="rect">
                            <a:avLst/>
                          </a:prstGeom>
                          <a:noFill/>
                          <a:ln w="9525">
                            <a:noFill/>
                            <a:headEnd/>
                            <a:tailEnd/>
                          </a:ln>
                        </pic:spPr>
                      </pic:pic>
                    </a:graphicData>
                  </a:graphic>
                </wp:inline>
              </w:drawing>
            </w:r>
            <w:bookmarkEnd w:id="103"/>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4"/>
        </w:tc>
      </w:tr>
    </w:tbl>
    <w:p>
      <w:r>
        <w:br w:type="page"/>
      </w:r>
    </w:p>
    <w:tbl>
      <w:tblPr>
        <w:tblStyle w:val="Table"/>
        <w:tblW w:type="pct" w:w="5000"/>
        <w:tblLayout w:type="fixed"/>
        <w:tblLook w:firstRow="0" w:lastRow="0" w:firstColumn="0" w:lastColumn="0" w:noHBand="0" w:noVBand="0" w:val="0000"/>
      </w:tblPr>
      <w:tblGrid>
        <w:gridCol w:w="7920"/>
      </w:tblGrid>
      <w:tr>
        <w:tc>
          <w:tcPr/>
          <w:bookmarkStart w:id="109" w:name="fig-pred1"/>
          <w:p>
            <w:pPr>
              <w:pStyle w:val="Compact"/>
              <w:jc w:val="center"/>
            </w:pPr>
            <w:bookmarkStart w:id="108" w:name="fig-pred1"/>
            <w:r>
              <w:drawing>
                <wp:inline>
                  <wp:extent cx="5943600" cy="4245428"/>
                  <wp:effectExtent b="0" l="0" r="0" t="0"/>
                  <wp:docPr descr="" title="" id="106" name="Picture"/>
                  <a:graphic>
                    <a:graphicData uri="http://schemas.openxmlformats.org/drawingml/2006/picture">
                      <pic:pic>
                        <pic:nvPicPr>
                          <pic:cNvPr descr="manuscript_files/figure-docx/fig-pred1-1.png" id="107" name="Picture"/>
                          <pic:cNvPicPr>
                            <a:picLocks noChangeArrowheads="1" noChangeAspect="1"/>
                          </pic:cNvPicPr>
                        </pic:nvPicPr>
                        <pic:blipFill>
                          <a:blip r:embed="rId105"/>
                          <a:stretch>
                            <a:fillRect/>
                          </a:stretch>
                        </pic:blipFill>
                        <pic:spPr bwMode="auto">
                          <a:xfrm>
                            <a:off x="0" y="0"/>
                            <a:ext cx="5943600" cy="4245428"/>
                          </a:xfrm>
                          <a:prstGeom prst="rect">
                            <a:avLst/>
                          </a:prstGeom>
                          <a:noFill/>
                          <a:ln w="9525">
                            <a:noFill/>
                            <a:headEnd/>
                            <a:tailEnd/>
                          </a:ln>
                        </pic:spPr>
                      </pic:pic>
                    </a:graphicData>
                  </a:graphic>
                </wp:inline>
              </w:drawing>
            </w:r>
            <w:bookmarkEnd w:id="108"/>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09"/>
        </w:tc>
      </w:tr>
    </w:tbl>
    <w:p>
      <w:r>
        <w:br w:type="page"/>
      </w:r>
    </w:p>
    <w:tbl>
      <w:tblPr>
        <w:tblStyle w:val="Table"/>
        <w:tblW w:type="pct" w:w="5000"/>
        <w:tblLayout w:type="fixed"/>
        <w:tblLook w:firstRow="0" w:lastRow="0" w:firstColumn="0" w:lastColumn="0" w:noHBand="0" w:noVBand="0" w:val="0000"/>
      </w:tblPr>
      <w:tblGrid>
        <w:gridCol w:w="7920"/>
      </w:tblGrid>
      <w:tr>
        <w:tc>
          <w:tcPr/>
          <w:bookmarkStart w:id="114" w:name="fig-pred2"/>
          <w:p>
            <w:pPr>
              <w:pStyle w:val="Compact"/>
              <w:jc w:val="center"/>
            </w:pPr>
            <w:bookmarkStart w:id="113" w:name="fig-pred2"/>
            <w:r>
              <w:drawing>
                <wp:inline>
                  <wp:extent cx="5943600" cy="4245428"/>
                  <wp:effectExtent b="0" l="0" r="0" t="0"/>
                  <wp:docPr descr="" title="" id="111" name="Picture"/>
                  <a:graphic>
                    <a:graphicData uri="http://schemas.openxmlformats.org/drawingml/2006/picture">
                      <pic:pic>
                        <pic:nvPicPr>
                          <pic:cNvPr descr="manuscript_files/figure-docx/fig-pred2-1.png" id="112" name="Picture"/>
                          <pic:cNvPicPr>
                            <a:picLocks noChangeArrowheads="1" noChangeAspect="1"/>
                          </pic:cNvPicPr>
                        </pic:nvPicPr>
                        <pic:blipFill>
                          <a:blip r:embed="rId110"/>
                          <a:stretch>
                            <a:fillRect/>
                          </a:stretch>
                        </pic:blipFill>
                        <pic:spPr bwMode="auto">
                          <a:xfrm>
                            <a:off x="0" y="0"/>
                            <a:ext cx="5943600" cy="4245428"/>
                          </a:xfrm>
                          <a:prstGeom prst="rect">
                            <a:avLst/>
                          </a:prstGeom>
                          <a:noFill/>
                          <a:ln w="9525">
                            <a:noFill/>
                            <a:headEnd/>
                            <a:tailEnd/>
                          </a:ln>
                        </pic:spPr>
                      </pic:pic>
                    </a:graphicData>
                  </a:graphic>
                </wp:inline>
              </w:drawing>
            </w:r>
            <w:bookmarkEnd w:id="113"/>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4"/>
        </w:tc>
      </w:tr>
    </w:tbl>
    <w:p>
      <w:r>
        <w:br w:type="page"/>
      </w:r>
    </w:p>
    <w:tbl>
      <w:tblPr>
        <w:tblStyle w:val="Table"/>
        <w:tblW w:type="pct" w:w="5000"/>
        <w:tblLayout w:type="fixed"/>
        <w:tblLook w:firstRow="0" w:lastRow="0" w:firstColumn="0" w:lastColumn="0" w:noHBand="0" w:noVBand="0" w:val="0000"/>
      </w:tblPr>
      <w:tblGrid>
        <w:gridCol w:w="7920"/>
      </w:tblGrid>
      <w:tr>
        <w:tc>
          <w:tcPr/>
          <w:bookmarkStart w:id="115"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t xml:space="preserve">03 July–09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5"/>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 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6"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patches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6"/>
          <w:p/>
        </w:tc>
      </w:tr>
    </w:tbl>
    <w:p>
      <w:pPr>
        <w:pStyle w:val="FootnoteText"/>
      </w:pPr>
      <w:r>
        <w:rPr>
          <w:vertAlign w:val="superscript"/>
        </w:rPr>
        <w:t xml:space="preserve">a</w:t>
      </w:r>
      <w:r>
        <w:t xml:space="preserve"> </w:t>
      </w:r>
      <w:r>
        <w:t xml:space="preserve">The model included breeding status (0 = never bred, 1 = has bred) as response variable, and year, brood patches (0 = absent, 1 = present), and their interaction as covariates.</w:t>
      </w:r>
    </w:p>
    <w:bookmarkEnd w:id="117"/>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29" Target="https://datazone.birdlife.org/species/factsheet/atlantic-puffin-fratercula-arctica" TargetMode="External" /><Relationship Type="http://schemas.openxmlformats.org/officeDocument/2006/relationships/hyperlink" Id="rId57" Target="https://doi.org/10.1002/2688-8319.12390" TargetMode="External" /><Relationship Type="http://schemas.openxmlformats.org/officeDocument/2006/relationships/hyperlink" Id="rId33" Target="https://doi.org/10.1002/ecs2.1283" TargetMode="External" /><Relationship Type="http://schemas.openxmlformats.org/officeDocument/2006/relationships/hyperlink" Id="rId85"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89" Target="https://doi.org/10.1007/s11222-016-9696-4" TargetMode="External" /><Relationship Type="http://schemas.openxmlformats.org/officeDocument/2006/relationships/hyperlink" Id="rId76" Target="https://doi.org/10.1016/S0169-5347(00)89171-5" TargetMode="External" /><Relationship Type="http://schemas.openxmlformats.org/officeDocument/2006/relationships/hyperlink" Id="rId37" Target="https://doi.org/10.1016/j.biocon.2019.06.033" TargetMode="External" /><Relationship Type="http://schemas.openxmlformats.org/officeDocument/2006/relationships/hyperlink" Id="rId35" Target="https://doi.org/10.1016/j.cub.2021.06.059" TargetMode="External" /><Relationship Type="http://schemas.openxmlformats.org/officeDocument/2006/relationships/hyperlink" Id="rId80" Target="https://doi.org/10.1098/rspb.2005.3175" TargetMode="External" /><Relationship Type="http://schemas.openxmlformats.org/officeDocument/2006/relationships/hyperlink" Id="rId43" Target="https://doi.org/10.1111/1365-2656.13442" TargetMode="External" /><Relationship Type="http://schemas.openxmlformats.org/officeDocument/2006/relationships/hyperlink" Id="rId39"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1" Target="https://doi.org/10.1111/j.1461-0248.2004.00588.x" TargetMode="External" /><Relationship Type="http://schemas.openxmlformats.org/officeDocument/2006/relationships/hyperlink" Id="rId61" Target="https://doi.org/10.1111/j.1469-185X.1971.tb01048.x" TargetMode="External" /><Relationship Type="http://schemas.openxmlformats.org/officeDocument/2006/relationships/hyperlink" Id="rId74" Target="https://doi.org/10.1111/j.1755-263X.2009.00049.x" TargetMode="External" /><Relationship Type="http://schemas.openxmlformats.org/officeDocument/2006/relationships/hyperlink" Id="rId45" Target="https://doi.org/10.1111/rssa.12378" TargetMode="External" /><Relationship Type="http://schemas.openxmlformats.org/officeDocument/2006/relationships/hyperlink" Id="rId91" Target="https://doi.org/10.1214/20-BA1221" TargetMode="External" /><Relationship Type="http://schemas.openxmlformats.org/officeDocument/2006/relationships/hyperlink" Id="rId70" Target="https://doi.org/10.1371/journal.pone.0131527" TargetMode="External" /><Relationship Type="http://schemas.openxmlformats.org/officeDocument/2006/relationships/hyperlink" Id="rId82" Target="https://doi.org/10.1525/auk.2008.07059" TargetMode="External" /><Relationship Type="http://schemas.openxmlformats.org/officeDocument/2006/relationships/hyperlink" Id="rId66" Target="https://doi.org/10.1525/elementa.2021.00033" TargetMode="External" /><Relationship Type="http://schemas.openxmlformats.org/officeDocument/2006/relationships/hyperlink" Id="rId68" Target="https://doi.org/10.1675/1524-4695(2003)026[0108:TROBPI]2.0.CO;2" TargetMode="External" /><Relationship Type="http://schemas.openxmlformats.org/officeDocument/2006/relationships/hyperlink" Id="rId31" Target="https://doi.org/10.18637/jss.v080.i01" TargetMode="External" /><Relationship Type="http://schemas.openxmlformats.org/officeDocument/2006/relationships/hyperlink" Id="rId64" Target="https://doi.org/10.2173/bow.atlpuf.01" TargetMode="External" /><Relationship Type="http://schemas.openxmlformats.org/officeDocument/2006/relationships/hyperlink" Id="rId27" Target="https://doi.org/10.2305/IUCN.UK.2018-2.RLTS.T22694927A132581443.en" TargetMode="External" /><Relationship Type="http://schemas.openxmlformats.org/officeDocument/2006/relationships/hyperlink" Id="rId25"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8" Target="https://doi.org/10.32614/R.manuals" TargetMode="External" /><Relationship Type="http://schemas.openxmlformats.org/officeDocument/2006/relationships/hyperlink" Id="rId18" Target="https://doi.org/10.5281/zenodo.23393736" TargetMode="External" /><Relationship Type="http://schemas.openxmlformats.org/officeDocument/2006/relationships/hyperlink" Id="rId87"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52" Target="https://www.jenskjeld.info/artikler/season21.html" TargetMode="External" /><Relationship Type="http://schemas.openxmlformats.org/officeDocument/2006/relationships/hyperlink" Id="rId72" Target="https://www.nature.scot/latest-guga-hunt-statement" TargetMode="External" /><Relationship Type="http://schemas.openxmlformats.org/officeDocument/2006/relationships/hyperlink" Id="rId59"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29" Target="https://datazone.birdlife.org/species/factsheet/atlantic-puffin-fratercula-arctica" TargetMode="External" /><Relationship Type="http://schemas.openxmlformats.org/officeDocument/2006/relationships/hyperlink" Id="rId57" Target="https://doi.org/10.1002/2688-8319.12390" TargetMode="External" /><Relationship Type="http://schemas.openxmlformats.org/officeDocument/2006/relationships/hyperlink" Id="rId33" Target="https://doi.org/10.1002/ecs2.1283" TargetMode="External" /><Relationship Type="http://schemas.openxmlformats.org/officeDocument/2006/relationships/hyperlink" Id="rId85"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89" Target="https://doi.org/10.1007/s11222-016-9696-4" TargetMode="External" /><Relationship Type="http://schemas.openxmlformats.org/officeDocument/2006/relationships/hyperlink" Id="rId76" Target="https://doi.org/10.1016/S0169-5347(00)89171-5" TargetMode="External" /><Relationship Type="http://schemas.openxmlformats.org/officeDocument/2006/relationships/hyperlink" Id="rId37" Target="https://doi.org/10.1016/j.biocon.2019.06.033" TargetMode="External" /><Relationship Type="http://schemas.openxmlformats.org/officeDocument/2006/relationships/hyperlink" Id="rId35" Target="https://doi.org/10.1016/j.cub.2021.06.059" TargetMode="External" /><Relationship Type="http://schemas.openxmlformats.org/officeDocument/2006/relationships/hyperlink" Id="rId80" Target="https://doi.org/10.1098/rspb.2005.3175" TargetMode="External" /><Relationship Type="http://schemas.openxmlformats.org/officeDocument/2006/relationships/hyperlink" Id="rId43" Target="https://doi.org/10.1111/1365-2656.13442" TargetMode="External" /><Relationship Type="http://schemas.openxmlformats.org/officeDocument/2006/relationships/hyperlink" Id="rId39"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1" Target="https://doi.org/10.1111/j.1461-0248.2004.00588.x" TargetMode="External" /><Relationship Type="http://schemas.openxmlformats.org/officeDocument/2006/relationships/hyperlink" Id="rId61" Target="https://doi.org/10.1111/j.1469-185X.1971.tb01048.x" TargetMode="External" /><Relationship Type="http://schemas.openxmlformats.org/officeDocument/2006/relationships/hyperlink" Id="rId74" Target="https://doi.org/10.1111/j.1755-263X.2009.00049.x" TargetMode="External" /><Relationship Type="http://schemas.openxmlformats.org/officeDocument/2006/relationships/hyperlink" Id="rId45" Target="https://doi.org/10.1111/rssa.12378" TargetMode="External" /><Relationship Type="http://schemas.openxmlformats.org/officeDocument/2006/relationships/hyperlink" Id="rId91" Target="https://doi.org/10.1214/20-BA1221" TargetMode="External" /><Relationship Type="http://schemas.openxmlformats.org/officeDocument/2006/relationships/hyperlink" Id="rId70" Target="https://doi.org/10.1371/journal.pone.0131527" TargetMode="External" /><Relationship Type="http://schemas.openxmlformats.org/officeDocument/2006/relationships/hyperlink" Id="rId82" Target="https://doi.org/10.1525/auk.2008.07059" TargetMode="External" /><Relationship Type="http://schemas.openxmlformats.org/officeDocument/2006/relationships/hyperlink" Id="rId66" Target="https://doi.org/10.1525/elementa.2021.00033" TargetMode="External" /><Relationship Type="http://schemas.openxmlformats.org/officeDocument/2006/relationships/hyperlink" Id="rId68" Target="https://doi.org/10.1675/1524-4695(2003)026[0108:TROBPI]2.0.CO;2" TargetMode="External" /><Relationship Type="http://schemas.openxmlformats.org/officeDocument/2006/relationships/hyperlink" Id="rId31" Target="https://doi.org/10.18637/jss.v080.i01" TargetMode="External" /><Relationship Type="http://schemas.openxmlformats.org/officeDocument/2006/relationships/hyperlink" Id="rId64" Target="https://doi.org/10.2173/bow.atlpuf.01" TargetMode="External" /><Relationship Type="http://schemas.openxmlformats.org/officeDocument/2006/relationships/hyperlink" Id="rId27" Target="https://doi.org/10.2305/IUCN.UK.2018-2.RLTS.T22694927A132581443.en" TargetMode="External" /><Relationship Type="http://schemas.openxmlformats.org/officeDocument/2006/relationships/hyperlink" Id="rId25"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8" Target="https://doi.org/10.32614/R.manuals" TargetMode="External" /><Relationship Type="http://schemas.openxmlformats.org/officeDocument/2006/relationships/hyperlink" Id="rId18" Target="https://doi.org/10.5281/zenodo.23393736" TargetMode="External" /><Relationship Type="http://schemas.openxmlformats.org/officeDocument/2006/relationships/hyperlink" Id="rId87"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52" Target="https://www.jenskjeld.info/artikler/season21.html" TargetMode="External" /><Relationship Type="http://schemas.openxmlformats.org/officeDocument/2006/relationships/hyperlink" Id="rId72" Target="https://www.nature.scot/latest-guga-hunt-statement" TargetMode="External" /><Relationship Type="http://schemas.openxmlformats.org/officeDocument/2006/relationships/hyperlink" Id="rId59"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2026-10-15T11:39:19Z</dcterms:created>
  <dcterms:modified xsi:type="dcterms:W3CDTF">2026-10-15T11:39:19Z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