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6.png" ContentType="image/png"/>
  <Override PartName="/word/media/rId34.png" ContentType="image/png"/>
  <Override PartName="/word/media/rId14.png" ContentType="image/png"/>
  <Override PartName="/word/media/rId22.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(FRATERCULA ARCTICA)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38" w:name="appendix-1"/>
    <w:p>
      <w:pPr>
        <w:pStyle w:val="Heading1"/>
      </w:pPr>
      <w:r>
        <w:t xml:space="preserve">Appendix 1</w:t>
      </w:r>
    </w:p>
    <w:tbl>
      <w:tblPr>
        <w:tblStyle w:val="Table"/>
        <w:tblW w:type="pct" w:w="5000"/>
        <w:tblLayout w:type="fixed"/>
        <w:tblLook w:firstRow="0" w:lastRow="0" w:firstColumn="0" w:lastColumn="0" w:noHBand="0" w:noVBand="0" w:val="0000"/>
      </w:tblPr>
      <w:tblGrid>
        <w:gridCol w:w="7920"/>
      </w:tblGrid>
      <w:tr>
        <w:tc>
          <w:tcPr/>
          <w:bookmarkStart w:id="9" w:name="tbl-diagnostics"/>
          <w:p>
            <w:pPr>
              <w:jc w:val="center"/>
            </w:pPr>
            <w:pPr>
              <w:jc w:val="left"/>
              <w:spacing w:before="200"/>
              <w:pStyle w:val="ImageCaption"/>
            </w:pPr>
            <w:r>
              <w:t xml:space="preserve">TABLE S 1. Convergence diagnostics (maximum R-hat and minimum bulk/tail effective sample size across fixed effects) and out-of-sample predictive fit (expected log pointwise predictive density (ELPD), effective number of parameters, and maximum Pareto k from approximate leave-one-out cross-validation) for the three fitted models.</w:t>
            </w:r>
          </w:p>
          <w:tbl>
            <w:tblPr>
              <w:tblStyle w:val="Table"/>
              <w:tblW w:type="pct" w:w="5000"/>
              <w:tblLayout w:type="fixed"/>
              <w:tblLook w:firstRow="1" w:lastRow="0" w:firstColumn="0" w:lastColumn="0" w:noHBand="0" w:noVBand="0" w:val="0020"/>
            </w:tblPr>
            <w:tblGrid>
              <w:gridCol w:w="2661"/>
              <w:gridCol w:w="584"/>
              <w:gridCol w:w="843"/>
              <w:gridCol w:w="843"/>
              <w:gridCol w:w="1038"/>
              <w:gridCol w:w="1103"/>
              <w:gridCol w:w="843"/>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left"/>
                    <w:jc w:val="center"/>
                  </w:pPr>
                  <w:r>
                    <w:t xml:space="preserve">ELPD (SE)</w:t>
                  </w:r>
                </w:p>
              </w:tc>
              <w:tc>
                <w:tcPr/>
                <w:p>
                  <w:pPr>
                    <w:pStyle w:val="Compact"/>
                    <w:jc w:val="left"/>
                    <w:jc w:val="center"/>
                  </w:pPr>
                  <w:r>
                    <w:t xml:space="preserve">Eff. params (SE)</w:t>
                  </w:r>
                </w:p>
              </w:tc>
              <w:tc>
                <w:tcPr/>
                <w:p>
                  <w:pPr>
                    <w:pStyle w:val="Compact"/>
                    <w:jc w:val="right"/>
                    <w:jc w:val="center"/>
                  </w:pPr>
                  <w:r>
                    <w:t xml:space="preserve">Max Pareto k</w:t>
                  </w:r>
                </w:p>
              </w:tc>
            </w:tr>
            <w:tr>
              <w:tc>
                <w:tcPr/>
                <w:p>
                  <w:pPr>
                    <w:pStyle w:val="Compact"/>
                    <w:jc w:val="left"/>
                    <w:jc w:val="center"/>
                  </w:pPr>
                  <w:r>
                    <w:t xml:space="preserve">M1: breeding status ~ year x brood patch</w:t>
                  </w:r>
                </w:p>
              </w:tc>
              <w:tc>
                <w:tcPr/>
                <w:p>
                  <w:pPr>
                    <w:pStyle w:val="Compact"/>
                    <w:jc w:val="right"/>
                    <w:jc w:val="center"/>
                  </w:pPr>
                  <w:r>
                    <w:t xml:space="preserve">1.000</w:t>
                  </w:r>
                </w:p>
              </w:tc>
              <w:tc>
                <w:tcPr/>
                <w:p>
                  <w:pPr>
                    <w:pStyle w:val="Compact"/>
                    <w:jc w:val="right"/>
                    <w:jc w:val="center"/>
                  </w:pPr>
                  <w:r>
                    <w:t xml:space="preserve">9350</w:t>
                  </w:r>
                </w:p>
              </w:tc>
              <w:tc>
                <w:tcPr/>
                <w:p>
                  <w:pPr>
                    <w:pStyle w:val="Compact"/>
                    <w:jc w:val="right"/>
                    <w:jc w:val="center"/>
                  </w:pPr>
                  <w:r>
                    <w:t xml:space="preserve">8917</w:t>
                  </w:r>
                </w:p>
              </w:tc>
              <w:tc>
                <w:tcPr/>
                <w:p>
                  <w:pPr>
                    <w:pStyle w:val="Compact"/>
                    <w:jc w:val="left"/>
                    <w:jc w:val="center"/>
                  </w:pPr>
                  <w:r>
                    <w:t xml:space="preserve">-856.24 (26.99)</w:t>
                  </w:r>
                </w:p>
              </w:tc>
              <w:tc>
                <w:tcPr/>
                <w:p>
                  <w:pPr>
                    <w:pStyle w:val="Compact"/>
                    <w:jc w:val="left"/>
                    <w:jc w:val="center"/>
                  </w:pPr>
                  <w:r>
                    <w:t xml:space="preserve">3.69 (0.28)</w:t>
                  </w:r>
                </w:p>
              </w:tc>
              <w:tc>
                <w:tcPr/>
                <w:p>
                  <w:pPr>
                    <w:pStyle w:val="Compact"/>
                    <w:jc w:val="right"/>
                    <w:jc w:val="center"/>
                  </w:pPr>
                  <w:r>
                    <w:t xml:space="preserve">0.09</w:t>
                  </w:r>
                </w:p>
              </w:tc>
            </w:tr>
            <w:tr>
              <w:tc>
                <w:tcPr/>
                <w:p>
                  <w:pPr>
                    <w:pStyle w:val="Compact"/>
                    <w:jc w:val="left"/>
                    <w:jc w:val="center"/>
                  </w:pPr>
                  <w:r>
                    <w:t xml:space="preserve">M2: brood patch ~ year (breeders only)</w:t>
                  </w:r>
                </w:p>
              </w:tc>
              <w:tc>
                <w:tcPr/>
                <w:p>
                  <w:pPr>
                    <w:pStyle w:val="Compact"/>
                    <w:jc w:val="right"/>
                    <w:jc w:val="center"/>
                  </w:pPr>
                  <w:r>
                    <w:t xml:space="preserve">1.000</w:t>
                  </w:r>
                </w:p>
              </w:tc>
              <w:tc>
                <w:tcPr/>
                <w:p>
                  <w:pPr>
                    <w:pStyle w:val="Compact"/>
                    <w:jc w:val="right"/>
                    <w:jc w:val="center"/>
                  </w:pPr>
                  <w:r>
                    <w:t xml:space="preserve">10456</w:t>
                  </w:r>
                </w:p>
              </w:tc>
              <w:tc>
                <w:tcPr/>
                <w:p>
                  <w:pPr>
                    <w:pStyle w:val="Compact"/>
                    <w:jc w:val="right"/>
                    <w:jc w:val="center"/>
                  </w:pPr>
                  <w:r>
                    <w:t xml:space="preserve">7412</w:t>
                  </w:r>
                </w:p>
              </w:tc>
              <w:tc>
                <w:tcPr/>
                <w:p>
                  <w:pPr>
                    <w:pStyle w:val="Compact"/>
                    <w:jc w:val="left"/>
                    <w:jc w:val="center"/>
                  </w:pPr>
                  <w:r>
                    <w:t xml:space="preserve">-308.38 (6.02)</w:t>
                  </w:r>
                </w:p>
              </w:tc>
              <w:tc>
                <w:tcPr/>
                <w:p>
                  <w:pPr>
                    <w:pStyle w:val="Compact"/>
                    <w:jc w:val="left"/>
                    <w:jc w:val="center"/>
                  </w:pPr>
                  <w:r>
                    <w:t xml:space="preserve">1.93 (0.07)</w:t>
                  </w:r>
                </w:p>
              </w:tc>
              <w:tc>
                <w:tcPr/>
                <w:p>
                  <w:pPr>
                    <w:pStyle w:val="Compact"/>
                    <w:jc w:val="right"/>
                    <w:jc w:val="center"/>
                  </w:pPr>
                  <w:r>
                    <w:t xml:space="preserve">0.07</w:t>
                  </w:r>
                </w:p>
              </w:tc>
            </w:tr>
            <w:tr>
              <w:tc>
                <w:tcPr/>
                <w:p>
                  <w:pPr>
                    <w:pStyle w:val="Compact"/>
                    <w:jc w:val="left"/>
                    <w:jc w:val="center"/>
                  </w:pPr>
                  <w:r>
                    <w:t xml:space="preserve">M1, 2007 excluded</w:t>
                  </w:r>
                </w:p>
              </w:tc>
              <w:tc>
                <w:tcPr/>
                <w:p>
                  <w:pPr>
                    <w:pStyle w:val="Compact"/>
                    <w:jc w:val="right"/>
                    <w:jc w:val="center"/>
                  </w:pPr>
                  <w:r>
                    <w:t xml:space="preserve">1.001</w:t>
                  </w:r>
                </w:p>
              </w:tc>
              <w:tc>
                <w:tcPr/>
                <w:p>
                  <w:pPr>
                    <w:pStyle w:val="Compact"/>
                    <w:jc w:val="right"/>
                    <w:jc w:val="center"/>
                  </w:pPr>
                  <w:r>
                    <w:t xml:space="preserve">9798</w:t>
                  </w:r>
                </w:p>
              </w:tc>
              <w:tc>
                <w:tcPr/>
                <w:p>
                  <w:pPr>
                    <w:pStyle w:val="Compact"/>
                    <w:jc w:val="right"/>
                    <w:jc w:val="center"/>
                  </w:pPr>
                  <w:r>
                    <w:t xml:space="preserve">7990</w:t>
                  </w:r>
                </w:p>
              </w:tc>
              <w:tc>
                <w:tcPr/>
                <w:p>
                  <w:pPr>
                    <w:pStyle w:val="Compact"/>
                    <w:jc w:val="left"/>
                    <w:jc w:val="center"/>
                  </w:pPr>
                  <w:r>
                    <w:t xml:space="preserve">-852.90 (26.96)</w:t>
                  </w:r>
                </w:p>
              </w:tc>
              <w:tc>
                <w:tcPr/>
                <w:p>
                  <w:pPr>
                    <w:pStyle w:val="Compact"/>
                    <w:jc w:val="left"/>
                    <w:jc w:val="center"/>
                  </w:pPr>
                  <w:r>
                    <w:t xml:space="preserve">3.71 (0.28)</w:t>
                  </w:r>
                </w:p>
              </w:tc>
              <w:tc>
                <w:tcPr/>
                <w:p>
                  <w:pPr>
                    <w:pStyle w:val="Compact"/>
                    <w:jc w:val="right"/>
                    <w:jc w:val="center"/>
                  </w:pPr>
                  <w:r>
                    <w:t xml:space="preserve">0.11</w:t>
                  </w:r>
                </w:p>
              </w:tc>
            </w:tr>
          </w:tbl>
          <w:bookmarkEnd w:id="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fig-pp-prior"/>
          <w:p>
            <w:pPr>
              <w:pStyle w:val="Compact"/>
              <w:jc w:val="center"/>
            </w:pPr>
            <w:r>
              <w:drawing>
                <wp:inline>
                  <wp:extent cx="5943600" cy="4245428"/>
                  <wp:effectExtent b="0" l="0" r="0" t="0"/>
                  <wp:docPr descr="" title="" id="11" name="Picture"/>
                  <a:graphic>
                    <a:graphicData uri="http://schemas.openxmlformats.org/drawingml/2006/picture">
                      <pic:pic>
                        <pic:nvPicPr>
                          <pic:cNvPr descr="appendix_files/figure-docx/fig-pp-prior-1.png" id="12" name="Picture"/>
                          <pic:cNvPicPr>
                            <a:picLocks noChangeArrowheads="1" noChangeAspect="1"/>
                          </pic:cNvPicPr>
                        </pic:nvPicPr>
                        <pic:blipFill>
                          <a:blip r:embed="rId1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1. Prior predictive check for the primary model (M1: breeding status ~ year x brood patch), showing the prior predictive distribution of the mean breeding status (light lines) against the observed mean (dark line), confirming the priors imply plausible values before fitting to the data.</w:t>
            </w:r>
          </w:p>
          <w:bookmarkEnd w:id="13"/>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pp-model"/>
          <w:p>
            <w:pPr>
              <w:pStyle w:val="Compact"/>
              <w:jc w:val="center"/>
            </w:pPr>
            <w:r>
              <w:drawing>
                <wp:inline>
                  <wp:extent cx="5943600" cy="4245428"/>
                  <wp:effectExtent b="0" l="0" r="0" t="0"/>
                  <wp:docPr descr="" title="" id="15" name="Picture"/>
                  <a:graphic>
                    <a:graphicData uri="http://schemas.openxmlformats.org/drawingml/2006/picture">
                      <pic:pic>
                        <pic:nvPicPr>
                          <pic:cNvPr descr="appendix_files/figure-docx/fig-pp-model-1.png" id="16" name="Picture"/>
                          <pic:cNvPicPr>
                            <a:picLocks noChangeArrowheads="1" noChangeAspect="1"/>
                          </pic:cNvPicPr>
                        </pic:nvPicPr>
                        <pic:blipFill>
                          <a:blip r:embed="rId1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2. Posterior predictive check for the primary model (M1: breeding status ~ year x brood patch), comparing the observed mean breeding status (dark line) to the posterior predictive distribution (light lines).</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mcmc-model"/>
          <w:p>
            <w:pPr>
              <w:pStyle w:val="Compact"/>
              <w:jc w:val="center"/>
            </w:pPr>
            <w:r>
              <w:drawing>
                <wp:inline>
                  <wp:extent cx="5943600" cy="6792685"/>
                  <wp:effectExtent b="0" l="0" r="0" t="0"/>
                  <wp:docPr descr="" title="" id="19" name="Picture"/>
                  <a:graphic>
                    <a:graphicData uri="http://schemas.openxmlformats.org/drawingml/2006/picture">
                      <pic:pic>
                        <pic:nvPicPr>
                          <pic:cNvPr descr="appendix_files/figure-docx/fig-mcmc-model-1.png" id="20" name="Picture"/>
                          <pic:cNvPicPr>
                            <a:picLocks noChangeArrowheads="1" noChangeAspect="1"/>
                          </pic:cNvPicPr>
                        </pic:nvPicPr>
                        <pic:blipFill>
                          <a:blip r:embed="rId18"/>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3. MCMC trace plots for all parameters of the primary model (M1), used to assess chain mixing and convergence. Brood.spot = brood patch.</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fig-pp-model2"/>
          <w:p>
            <w:pPr>
              <w:pStyle w:val="Compact"/>
              <w:jc w:val="center"/>
            </w:pPr>
            <w:r>
              <w:drawing>
                <wp:inline>
                  <wp:extent cx="5943600" cy="4245428"/>
                  <wp:effectExtent b="0" l="0" r="0" t="0"/>
                  <wp:docPr descr="" title="" id="23" name="Picture"/>
                  <a:graphic>
                    <a:graphicData uri="http://schemas.openxmlformats.org/drawingml/2006/picture">
                      <pic:pic>
                        <pic:nvPicPr>
                          <pic:cNvPr descr="appendix_files/figure-docx/fig-pp-model2-1.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4. Posterior predictive check for the robustness-check model (M2: brood patch presence ~ year), fitted to confirmed breeding-age females only.</w:t>
            </w:r>
          </w:p>
          <w:bookmarkEnd w:id="25"/>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fig-mcmc-model2"/>
          <w:p>
            <w:pPr>
              <w:pStyle w:val="Compact"/>
              <w:jc w:val="center"/>
            </w:pPr>
            <w:r>
              <w:drawing>
                <wp:inline>
                  <wp:extent cx="5943600" cy="4245428"/>
                  <wp:effectExtent b="0" l="0" r="0" t="0"/>
                  <wp:docPr descr="" title="" id="27" name="Picture"/>
                  <a:graphic>
                    <a:graphicData uri="http://schemas.openxmlformats.org/drawingml/2006/picture">
                      <pic:pic>
                        <pic:nvPicPr>
                          <pic:cNvPr descr="appendix_files/figure-docx/fig-mcmc-model2-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5. MCMC trace plots for all parameters of the robustness-check model (M2).</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p-model2007"/>
          <w:p>
            <w:pPr>
              <w:pStyle w:val="Compact"/>
              <w:jc w:val="center"/>
            </w:pPr>
            <w:r>
              <w:drawing>
                <wp:inline>
                  <wp:extent cx="5943600" cy="4245428"/>
                  <wp:effectExtent b="0" l="0" r="0" t="0"/>
                  <wp:docPr descr="" title="" id="31" name="Picture"/>
                  <a:graphic>
                    <a:graphicData uri="http://schemas.openxmlformats.org/drawingml/2006/picture">
                      <pic:pic>
                        <pic:nvPicPr>
                          <pic:cNvPr descr="appendix_files/figure-docx/fig-pp-model2007-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6. Posterior predictive check for the primary model refit excluding the 2007 breeding season.</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mcmc-model2007"/>
          <w:p>
            <w:pPr>
              <w:pStyle w:val="Compact"/>
              <w:jc w:val="center"/>
            </w:pPr>
            <w:r>
              <w:drawing>
                <wp:inline>
                  <wp:extent cx="5943600" cy="6792685"/>
                  <wp:effectExtent b="0" l="0" r="0" t="0"/>
                  <wp:docPr descr="" title="" id="35" name="Picture"/>
                  <a:graphic>
                    <a:graphicData uri="http://schemas.openxmlformats.org/drawingml/2006/picture">
                      <pic:pic>
                        <pic:nvPicPr>
                          <pic:cNvPr descr="appendix_files/figure-docx/fig-mcmc-model2007-1.png" id="36" name="Picture"/>
                          <pic:cNvPicPr>
                            <a:picLocks noChangeArrowheads="1" noChangeAspect="1"/>
                          </pic:cNvPicPr>
                        </pic:nvPicPr>
                        <pic:blipFill>
                          <a:blip r:embed="rId34"/>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7. MCMC trace plots for all parameters of the primary model refit excluding the 2007 breeding season. Brood.spot = brood patch.</w:t>
            </w:r>
          </w:p>
          <w:bookmarkEnd w:id="37"/>
        </w:tc>
      </w:tr>
    </w:tbl>
    <w:bookmarkEnd w:id="38"/>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2026-08-03T18:00:39Z</dcterms:created>
  <dcterms:modified xsi:type="dcterms:W3CDTF">2026-08-03T18:00:39Z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