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9" w:name="abstract"/>
    <w:p>
      <w:pPr>
        <w:pStyle w:val="Heading1"/>
      </w:pPr>
      <w:r>
        <w:t xml:space="preserve">ABSTRACT</w:t>
      </w:r>
    </w:p>
    <w:p>
      <w:pPr>
        <w:pStyle w:val="FirstParagraph"/>
      </w:pPr>
      <w:r>
        <w:rPr>
          <w:b/>
          <w:bCs/>
        </w:rPr>
        <w:t xml:space="preserve">Key words:</w:t>
      </w:r>
    </w:p>
    <w:bookmarkEnd w:id="9"/>
    <w:bookmarkStart w:id="10"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while others directly cause mortality, such as bycatch and hunting. In long-lived species such as seabirds, changes in adult survival can have strong effects on population dynamics</w:t>
      </w:r>
      <w:r>
        <w:t xml:space="preserve"> </w:t>
      </w:r>
      <w:r>
        <w:t xml:space="preserve">(Doherty et al., 2004; Jenouvrier et al., 2005)</w:t>
      </w:r>
      <w:r>
        <w:t xml:space="preserve">, so even minor threats directly affecting it can have large impacts, especially on already vulnerable species. In contrast, the elasticity of the population growth rate to breeding success and recruitment rate is relatively low, but they can react strongly to changes in environmental conditions</w:t>
      </w:r>
      <w:r>
        <w:t xml:space="preserve"> </w:t>
      </w:r>
      <w:r>
        <w:t xml:space="preserve">(Jenouvrier et al., 2005)</w:t>
      </w:r>
      <w:r>
        <w:t xml:space="preserve">, thus ultimately having the strongest effect on population growth rate overall</w:t>
      </w:r>
      <w:r>
        <w:t xml:space="preserve"> </w:t>
      </w:r>
      <w:r>
        <w:t xml:space="preserve">(Miles et al., 2015)</w:t>
      </w:r>
      <w:r>
        <w:t xml:space="preserve">.</w:t>
      </w:r>
    </w:p>
    <w:p>
      <w:pPr>
        <w:pStyle w:val="BodyText"/>
      </w:pPr>
      <w:r>
        <w:t xml:space="preserve">Atlantic puffins (</w:t>
      </w:r>
      <w:r>
        <w:rPr>
          <w:i/>
          <w:iCs/>
        </w:rPr>
        <w:t xml:space="preserve">Fratecula arctica</w:t>
      </w:r>
      <w:r>
        <w:t xml:space="preserve">; 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Generally, puffins start breeding when they are between 4 and 5 years, though occasionally they can start at 3 years old and often the first breeding attempt is at a later age</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 Føroyar (Eng. Faroe Islands;</w:t>
      </w:r>
      <w:r>
        <w:t xml:space="preserve"> </w:t>
      </w:r>
      <w:hyperlink w:anchor="fig-map">
        <w:r>
          <w:rPr>
            <w:rStyle w:val="Hyperlink"/>
          </w:rPr>
          <w:t xml:space="preserve">Fig. 1</w:t>
        </w:r>
      </w:hyperlink>
      <w:r>
        <w:t xml:space="preserve">), harvesting puffins is a long-stranding, culturally important tradition, where hunters catch flying puffins from set locations on land using a special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declines in Føroyar.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Firstly,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In addition, if a bird with wet bill and cheeks is caught, it is released again, as that is a sign of a bird having just delivered fish to its young.</w:t>
      </w:r>
    </w:p>
    <w:p>
      <w:pPr>
        <w:pStyle w:val="BodyText"/>
      </w:pPr>
      <w:r>
        <w:t xml:space="preserve">However, 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the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20-year dataset on legally harvested puffins</w:t>
      </w:r>
      <w:r>
        <w:t xml:space="preserve"> </w:t>
      </w:r>
      <w:r>
        <w:t xml:space="preserve">(Løgtingslóg Um Fuglaveiðu, Sum Seinast Broytt Við Løgtingslóg Nr. 70 Frá 22. Mai 2023, 1984)</w:t>
      </w:r>
      <w:r>
        <w:t xml:space="preserve">, we tested whether adults of breeding age were harvested. We hypothesise that, as the overall age of the population is increasing and the proportion of young (i.e., &lt;4 calendar years) is declining</w:t>
      </w:r>
      <w:r>
        <w:t xml:space="preserve"> </w:t>
      </w:r>
      <w:r>
        <w:t xml:space="preserve">(Ausems et al., 2026)</w:t>
      </w:r>
      <w:r>
        <w:t xml:space="preserve">, the ratio of adults of breeding age increased over the study period. Secondly, we tested whether breeding propensity changed over time by assessing brood patch presence in the sample. Brood patch formation is induced by hormones before the breeding season</w:t>
      </w:r>
      <w:r>
        <w:t xml:space="preserve"> </w:t>
      </w:r>
      <w:r>
        <w:t xml:space="preserve">(Jones, 1971)</w:t>
      </w:r>
      <w:r>
        <w:t xml:space="preserve"> </w:t>
      </w:r>
      <w:r>
        <w:t xml:space="preserve">but it quickly disappears when a bird is not incubating an egg</w:t>
      </w:r>
      <w:r>
        <w:t xml:space="preserve"> </w:t>
      </w:r>
      <w:r>
        <w:t xml:space="preserve">(Bailey, 1952)</w:t>
      </w:r>
      <w:r>
        <w:t xml:space="preserve">. While the presence of a brood patch can be a misleading sign of breeding status</w:t>
      </w:r>
      <w:r>
        <w:t xml:space="preserve"> </w:t>
      </w:r>
      <w:r>
        <w:t xml:space="preserve">(McFarlane Tranquilla et al., 2003)</w:t>
      </w:r>
      <w:r>
        <w:t xml:space="preserve">, we assumed that, at the time of the puffin hunt, prospecting and failed breeders would have refeathered their brood patch while actively incubating birds still retained theirs. We predicted that birds of breeding age would be less likely to have a brood patch later in the study period, indicating increased breeding failures or an increase in birds foregoing breeding.</w:t>
      </w:r>
    </w:p>
    <w:bookmarkEnd w:id="10"/>
    <w:bookmarkStart w:id="11" w:name="methods"/>
    <w:p>
      <w:pPr>
        <w:pStyle w:val="Heading1"/>
      </w:pPr>
      <w:r>
        <w:t xml:space="preserve">Methods</w:t>
      </w:r>
    </w:p>
    <w:p>
      <w:pPr>
        <w:pStyle w:val="FirstParagraph"/>
      </w:pPr>
      <w:r>
        <w:t xml:space="preserve">Between 1989 and 2008, J-KJ inspected 5472 randomly selected puffins harvested on the islands of Nólsoy from 1989 to 2006, and on Mykines from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Puffins were harvested from July 2nd, with an official end-date of August 8th, although this was not always adhered to and the latest sample in our dataset was harvested August 15th. J-KJ acquired an arbitrary number of puffins (range: 9, 450; median: 277.5;</w:t>
      </w:r>
      <w:r>
        <w:t xml:space="preserve"> </w:t>
      </w:r>
      <w:hyperlink w:anchor="tbl-harvest">
        <w:r>
          <w:rPr>
            <w:rStyle w:val="Hyperlink"/>
          </w:rPr>
          <w:t xml:space="preserve">Table 1</w:t>
        </w:r>
      </w:hyperlink>
      <w:r>
        <w:t xml:space="preserve">) from the hunters when they returned to the village. Hunters placed the harvested puffins in a big pile on the ground prior to processing. From one pile per hunting day, J-KJ collected a random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a brood patch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breeding age</w:t>
      </w:r>
      <w:r>
        <w:t xml:space="preserve"> </w:t>
      </w:r>
      <w:r>
        <w:t xml:space="preserve">(Van Franeker, 2004)</w:t>
      </w:r>
      <w:r>
        <w:t xml:space="preserve">. For males, it is impossible to determine whether they have bred before. Based on bill characteristics, we could only determine their age up to 4 years</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(n = 1995). We removed individuals for which breeding state could not be determined (n = 74) and individuals for which brood patch was not scored (n =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w:t>
      </w:r>
      <w:r>
        <w:t xml:space="preserve"> </w:t>
      </w:r>
      <w:r>
        <w:t xml:space="preserve">Bürkner (2017)</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skeptical normal (0, 1) prior on the year trend, and the default Student-t (3, 0, 2.5) prior on the intercept. We centered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confirmed breeding-age females, with a second GLM with brood patch presence as response variable and year as covariate, including only breeding-age females (n = 469). We used the same priors as for the full model, excluding the interaction term. As a second robustness check to confirm that the low sample size (n = 5) in 2007 did not have an undue effect on the overall outcome, we refit the full model excluding 2007.</w:t>
      </w:r>
    </w:p>
    <w:bookmarkEnd w:id="11"/>
    <w:bookmarkStart w:id="12" w:name="results"/>
    <w:p>
      <w:pPr>
        <w:pStyle w:val="Heading1"/>
      </w:pPr>
      <w:r>
        <w:t xml:space="preserve">Results</w:t>
      </w:r>
    </w:p>
    <w:p>
      <w:pPr>
        <w:pStyle w:val="FirstParagraph"/>
      </w:pPr>
      <w:r>
        <w:t xml:space="preserve">The model passed the validation checks (Appendix 1) with all</w:t>
      </w:r>
      <w:r>
        <w:t xml:space="preserve"> </w:t>
      </w:r>
      <m:oMath>
        <m:acc>
          <m:accPr>
            <m:chr m:val="̂"/>
          </m:accPr>
          <m:e>
            <m:r>
              <m:t>R</m:t>
            </m:r>
          </m:e>
        </m:acc>
      </m:oMath>
      <w:r>
        <w:t xml:space="preserve"> </w:t>
      </w:r>
      <w:r>
        <w:t xml:space="preserve">≤ 1.001 and high ESS (bulk/tail ESS &gt; 8,900 of 12,000 post-warmup draws). All Pareto k estimates were &lt; 0.7 (expected log pointwise predictive density (ELPD) ± standard error (SE) = -856.24 ± 26.99, effective parameters ± SE = 3.69 ± 0.28). The robustness check models also passed all checks (Appendix 1).</w:t>
      </w:r>
    </w:p>
    <w:p>
      <w:pPr>
        <w:pStyle w:val="BodyText"/>
      </w:pPr>
      <w:r>
        <w:t xml:space="preserve">The GLM showed an increase in the ratio of females that had bred over time (</w:t>
      </w:r>
      <w:hyperlink w:anchor="fig-marg-bar">
        <w:r>
          <w:rPr>
            <w:rStyle w:val="Hyperlink"/>
          </w:rPr>
          <w:t xml:space="preserve">Fig. 2</w:t>
        </w:r>
      </w:hyperlink>
      <w:r>
        <w:t xml:space="preserve">), with a stronger increase within females without a brood patch than females with a brood patch (</w:t>
      </w:r>
      <w:hyperlink w:anchor="fig-pred1">
        <w:r>
          <w:rPr>
            <w:rStyle w:val="Hyperlink"/>
          </w:rPr>
          <w:t xml:space="preserve">Fig. 3</w:t>
        </w:r>
      </w:hyperlink>
      <w:r>
        <w:t xml:space="preserve">). Averaged across the sample (integrating over the observed proportion of brood patch presence;</w:t>
      </w:r>
      <w:r>
        <w:t xml:space="preserve"> </w:t>
      </w:r>
      <w:hyperlink w:anchor="fig-marg-bar">
        <w:r>
          <w:rPr>
            <w:rStyle w:val="Hyperlink"/>
          </w:rPr>
          <w:t xml:space="preserve">Fig. 2</w:t>
        </w:r>
      </w:hyperlink>
      <w:r>
        <w:t xml:space="preserve">), the model-predicted probability of having bred increased from 0.14 (95% CI: 0.12–0.16) in 1995 to 0.47 (95% CI: 0.41–0.53) in 2008, an increase of 0.33 (95% CI: 0.26–0.40) over the study period. Breeding odds increased by a factor of 5.65 (95% CI: 3.88-7.99; posterior probability of an increase = 100.0%) per decade in females without a brood patch (the baseline for the model) and 2.92 (95% CI: 0.98-7.08; posterior probability of an increase = 97.3%) for females with a brood patch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confirmed breeding-age female (odds ratio 0.90/decade; 95% CI [0.56-1.44]; posterior probability = 67.7;</w:t>
      </w:r>
      <w:r>
        <w:t xml:space="preserve"> </w:t>
      </w:r>
      <w:hyperlink w:anchor="fig-pred2">
        <w:r>
          <w:rPr>
            <w:rStyle w:val="Hyperlink"/>
          </w:rPr>
          <w:t xml:space="preserve">Fig. 4</w:t>
        </w:r>
      </w:hyperlink>
      <w:r>
        <w:t xml:space="preserve">). Removing 2007 did not change the model predictions (Δ odds ratio, full model minus 2007-excluded refit: intercept +0.00, year +0.00, brood patch presence -0.06, interaction +0.00).</w:t>
      </w:r>
    </w:p>
    <w:bookmarkEnd w:id="12"/>
    <w:bookmarkStart w:id="31" w:name="discussion"/>
    <w:p>
      <w:pPr>
        <w:pStyle w:val="Heading1"/>
      </w:pPr>
      <w:r>
        <w:t xml:space="preserve">Discussion</w:t>
      </w:r>
    </w:p>
    <w:p>
      <w:pPr>
        <w:pStyle w:val="FirstParagraph"/>
      </w:pPr>
      <w:r>
        <w:t xml:space="preserve">landkomudagur - days that young birds &amp; adults that failed come to the shore, other days only the birds that need to be there come to shore (i.e., the breeders)</w:t>
      </w:r>
    </w:p>
    <w:p>
      <w:pPr>
        <w:pStyle w:val="BodyText"/>
      </w:pPr>
      <w:r>
        <w:t xml:space="preserve">failed breeders will also come to shore to do some maintenance in the nest and socialise</w:t>
      </w:r>
    </w:p>
    <w:tbl>
      <w:tblPr>
        <w:tblStyle w:val="Table"/>
        <w:tblW w:type="pct" w:w="5000"/>
        <w:tblLayout w:type="fixed"/>
        <w:tblLook w:firstRow="0" w:lastRow="0" w:firstColumn="0" w:lastColumn="0" w:noHBand="0" w:noVBand="0" w:val="0000"/>
      </w:tblPr>
      <w:tblGrid>
        <w:gridCol w:w="7920"/>
      </w:tblGrid>
      <w:tr>
        <w:tc>
          <w:tcPr/>
          <w:bookmarkStart w:id="16" w:name="fig-map"/>
          <w:p>
            <w:pPr>
              <w:pStyle w:val="Compact"/>
              <w:jc w:val="center"/>
            </w:pPr>
            <w:r>
              <w:drawing>
                <wp:inline>
                  <wp:extent cx="5943600" cy="6028508"/>
                  <wp:effectExtent b="0" l="0" r="0" t="0"/>
                  <wp:docPr descr="" title="" id="14" name="Picture"/>
                  <a:graphic>
                    <a:graphicData uri="http://schemas.openxmlformats.org/drawingml/2006/picture">
                      <pic:pic>
                        <pic:nvPicPr>
                          <pic:cNvPr descr="manuscript_files/figure-docx/fig-map-1.png" id="15" name="Picture"/>
                          <pic:cNvPicPr>
                            <a:picLocks noChangeArrowheads="1" noChangeAspect="1"/>
                          </pic:cNvPicPr>
                        </pic:nvPicPr>
                        <pic:blipFill>
                          <a:blip r:embed="rId13"/>
                          <a:stretch>
                            <a:fillRect/>
                          </a:stretch>
                        </pic:blipFill>
                        <pic:spPr bwMode="auto">
                          <a:xfrm>
                            <a:off x="0" y="0"/>
                            <a:ext cx="5943600" cy="602850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w:t>
            </w:r>
            <w:r>
              <w:t xml:space="preserve"> 1. Location of the study sites (red dots) in Føroyar.</w:t>
            </w:r>
          </w:p>
          <w:bookmarkEnd w:id="16"/>
        </w:tc>
      </w:tr>
    </w:tbl>
    <w:tbl>
      <w:tblPr>
        <w:tblStyle w:val="Table"/>
        <w:tblW w:type="pct" w:w="5000"/>
        <w:tblLayout w:type="fixed"/>
        <w:tblLook w:firstRow="0" w:lastRow="0" w:firstColumn="0" w:lastColumn="0" w:noHBand="0" w:noVBand="0" w:val="0000"/>
      </w:tblPr>
      <w:tblGrid>
        <w:gridCol w:w="7920"/>
      </w:tblGrid>
      <w:tr>
        <w:tc>
          <w:tcPr/>
          <w:bookmarkStart w:id="20" w:name="fig-marg-bar"/>
          <w:p>
            <w:pPr>
              <w:pStyle w:val="Compact"/>
              <w:jc w:val="center"/>
            </w:pPr>
            <w:r>
              <w:drawing>
                <wp:inline>
                  <wp:extent cx="5943600" cy="4245428"/>
                  <wp:effectExtent b="0" l="0" r="0" t="0"/>
                  <wp:docPr descr="" title="" id="18" name="Picture"/>
                  <a:graphic>
                    <a:graphicData uri="http://schemas.openxmlformats.org/drawingml/2006/picture">
                      <pic:pic>
                        <pic:nvPicPr>
                          <pic:cNvPr descr="manuscript_files/figure-docx/fig-marg-bar-1.png" id="19" name="Picture"/>
                          <pic:cNvPicPr>
                            <a:picLocks noChangeArrowheads="1" noChangeAspect="1"/>
                          </pic:cNvPicPr>
                        </pic:nvPicPr>
                        <pic:blipFill>
                          <a:blip r:embed="rId1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w:t>
            </w:r>
            <w:r>
              <w:t xml:space="preserve"> 2. Temporal change in the probability of harvesting female Atlantic puffins (</w:t>
            </w:r>
            <w:r>
              <w:rPr>
                <w:i/>
                <w:iCs/>
              </w:rPr>
              <w:t xml:space="preserve">Fratercula arctica</w:t>
            </w:r>
            <w:r>
              <w:t xml:space="preserve">) of confirmed breeding age in Føroyar. Bars show the observed percentage of breeding females per year. The solid line shows the estimate from a Bayesian generalised linear model and the shaded band shows the 95% credible interval. The estimates are marginalised over each study year’s observed brood patch composition. The vertical bars show the percentage of females of confirmed breeding age in the sample.</w:t>
            </w:r>
          </w:p>
          <w:bookmarkEnd w:id="20"/>
        </w:tc>
      </w:tr>
    </w:tbl>
    <w:tbl>
      <w:tblPr>
        <w:tblStyle w:val="Table"/>
        <w:tblW w:type="pct" w:w="5000"/>
        <w:tblLayout w:type="fixed"/>
        <w:tblLook w:firstRow="0" w:lastRow="0" w:firstColumn="0" w:lastColumn="0" w:noHBand="0" w:noVBand="0" w:val="0000"/>
      </w:tblPr>
      <w:tblGrid>
        <w:gridCol w:w="7920"/>
      </w:tblGrid>
      <w:tr>
        <w:tc>
          <w:tcPr/>
          <w:bookmarkStart w:id="24" w:name="fig-pred1"/>
          <w:p>
            <w:pPr>
              <w:pStyle w:val="Compact"/>
              <w:jc w:val="center"/>
            </w:pPr>
            <w:r>
              <w:drawing>
                <wp:inline>
                  <wp:extent cx="5943600" cy="4245428"/>
                  <wp:effectExtent b="0" l="0" r="0" t="0"/>
                  <wp:docPr descr="" title="" id="22" name="Picture"/>
                  <a:graphic>
                    <a:graphicData uri="http://schemas.openxmlformats.org/drawingml/2006/picture">
                      <pic:pic>
                        <pic:nvPicPr>
                          <pic:cNvPr descr="manuscript_files/figure-docx/fig-pred1-1.png" id="23" name="Picture"/>
                          <pic:cNvPicPr>
                            <a:picLocks noChangeArrowheads="1" noChangeAspect="1"/>
                          </pic:cNvPicPr>
                        </pic:nvPicPr>
                        <pic:blipFill>
                          <a:blip r:embed="rId2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w:t>
            </w:r>
            <w:r>
              <w:t xml:space="preserve"> 3. Temporal change in the probability of harvesting female Atlantic puffins (</w:t>
            </w:r>
            <w:r>
              <w:rPr>
                <w:i/>
                <w:iCs/>
              </w:rPr>
              <w:t xml:space="preserve">Fratercula arctica</w:t>
            </w:r>
            <w:r>
              <w:t xml:space="preserve">) of confirmed breeding age in Føroyar, with or without brood patches. The solid lines show the estimates from a Bayesian generalised linear model and the shaded band shows the 95% credible intervals.</w:t>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pred2"/>
          <w:p>
            <w:pPr>
              <w:pStyle w:val="Compact"/>
              <w:jc w:val="center"/>
            </w:pPr>
            <w:r>
              <w:drawing>
                <wp:inline>
                  <wp:extent cx="5943600" cy="4245428"/>
                  <wp:effectExtent b="0" l="0" r="0" t="0"/>
                  <wp:docPr descr="" title="" id="26" name="Picture"/>
                  <a:graphic>
                    <a:graphicData uri="http://schemas.openxmlformats.org/drawingml/2006/picture">
                      <pic:pic>
                        <pic:nvPicPr>
                          <pic:cNvPr descr="manuscript_files/figure-docx/fig-pred2-1.png" id="27" name="Picture"/>
                          <pic:cNvPicPr>
                            <a:picLocks noChangeArrowheads="1" noChangeAspect="1"/>
                          </pic:cNvPicPr>
                        </pic:nvPicPr>
                        <pic:blipFill>
                          <a:blip r:embed="rId2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w:t>
            </w:r>
            <w:r>
              <w:t xml:space="preserve"> 4. Temporal change in brood patch presence in female Atlantic puffins (</w:t>
            </w:r>
            <w:r>
              <w:rPr>
                <w:i/>
                <w:iCs/>
              </w:rPr>
              <w:t xml:space="preserve">Fratercula arctica</w:t>
            </w:r>
            <w:r>
              <w:t xml:space="preserve">) of confirmed breeding age harvested in Føroyar. The solid line shows the estimate from a Bayesian generalised linear model and the shaded band shows the 95% credible interval.</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harvest"/>
          <w:p>
            <w:pPr>
              <w:jc w:val="center"/>
            </w:pPr>
            <w:pPr>
              <w:jc w:val="left"/>
              <w:spacing w:before="200"/>
              <w:pStyle w:val="ImageCaption"/>
            </w:pPr>
            <w:r>
              <w:t xml:space="preserve">TABLE 1. Estimated annual puffin harvest and sample sizes, Nólsoy (1989–2006) and Mykines (2007–2008), Føroyar. Sample sizes are presented for the total sample size and the number of females in the sample. The percentage of females that had bred is shown as % (n).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Year</w:t>
                  </w:r>
                </w:p>
              </w:tc>
              <w:tc>
                <w:tcPr/>
                <w:p>
                  <w:pPr>
                    <w:pStyle w:val="Compact"/>
                    <w:jc w:val="right"/>
                    <w:jc w:val="center"/>
                  </w:pPr>
                  <w:r>
                    <w:t xml:space="preserve">Estimated harvest</w:t>
                  </w:r>
                </w:p>
              </w:tc>
              <w:tc>
                <w:tcPr/>
                <w:p>
                  <w:pPr>
                    <w:pStyle w:val="Compact"/>
                    <w:jc w:val="right"/>
                    <w:jc w:val="center"/>
                  </w:pPr>
                  <w:r>
                    <w:t xml:space="preserve">Sample size</w:t>
                  </w:r>
                </w:p>
              </w:tc>
              <w:tc>
                <w:tcPr/>
                <w:p>
                  <w:pPr>
                    <w:pStyle w:val="Compact"/>
                    <w:jc w:val="right"/>
                    <w:jc w:val="center"/>
                  </w:pPr>
                  <w:r>
                    <w:t xml:space="preserve">Females</w:t>
                  </w:r>
                </w:p>
              </w:tc>
              <w:tc>
                <w:tcPr/>
                <w:p>
                  <w:pPr>
                    <w:pStyle w:val="Compact"/>
                    <w:jc w:val="left"/>
                    <w:jc w:val="center"/>
                  </w:pPr>
                  <w:r>
                    <w:t xml:space="preserve">% Bred (n)</w:t>
                  </w:r>
                </w:p>
              </w:tc>
            </w:tr>
            <w:tr>
              <w:tc>
                <w:tcPr/>
                <w:p>
                  <w:pPr>
                    <w:pStyle w:val="Compact"/>
                    <w:jc w:val="right"/>
                    <w:jc w:val="center"/>
                  </w:pPr>
                  <w:r>
                    <w:t xml:space="preserve">1989</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1990</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1991</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1992</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1993</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1994</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1995</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left"/>
                    <w:jc w:val="center"/>
                  </w:pPr>
                  <w:r>
                    <w:t xml:space="preserve">17% (31)</w:t>
                  </w:r>
                </w:p>
              </w:tc>
            </w:tr>
            <w:tr>
              <w:tc>
                <w:tcPr/>
                <w:p>
                  <w:pPr>
                    <w:pStyle w:val="Compact"/>
                    <w:jc w:val="right"/>
                    <w:jc w:val="center"/>
                  </w:pPr>
                  <w:r>
                    <w:t xml:space="preserve">1996</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left"/>
                    <w:jc w:val="center"/>
                  </w:pPr>
                  <w:r>
                    <w:t xml:space="preserve">7% (13)</w:t>
                  </w:r>
                </w:p>
              </w:tc>
            </w:tr>
            <w:tr>
              <w:tc>
                <w:tcPr/>
                <w:p>
                  <w:pPr>
                    <w:pStyle w:val="Compact"/>
                    <w:jc w:val="right"/>
                    <w:jc w:val="center"/>
                  </w:pPr>
                  <w:r>
                    <w:t xml:space="preserve">1997</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left"/>
                    <w:jc w:val="center"/>
                  </w:pPr>
                  <w:r>
                    <w:t xml:space="preserve">14% (27)</w:t>
                  </w:r>
                </w:p>
              </w:tc>
            </w:tr>
            <w:tr>
              <w:tc>
                <w:tcPr/>
                <w:p>
                  <w:pPr>
                    <w:pStyle w:val="Compact"/>
                    <w:jc w:val="right"/>
                    <w:jc w:val="center"/>
                  </w:pPr>
                  <w:r>
                    <w:t xml:space="preserve">1998</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left"/>
                    <w:jc w:val="center"/>
                  </w:pPr>
                  <w:r>
                    <w:t xml:space="preserve">18% (40)</w:t>
                  </w:r>
                </w:p>
              </w:tc>
            </w:tr>
            <w:tr>
              <w:tc>
                <w:tcPr/>
                <w:p>
                  <w:pPr>
                    <w:pStyle w:val="Compact"/>
                    <w:jc w:val="right"/>
                    <w:jc w:val="center"/>
                  </w:pPr>
                  <w:r>
                    <w:t xml:space="preserve">1999</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left"/>
                    <w:jc w:val="center"/>
                  </w:pPr>
                  <w:r>
                    <w:t xml:space="preserve">28% (53)</w:t>
                  </w:r>
                </w:p>
              </w:tc>
            </w:tr>
            <w:tr>
              <w:tc>
                <w:tcPr/>
                <w:p>
                  <w:pPr>
                    <w:pStyle w:val="Compact"/>
                    <w:jc w:val="right"/>
                    <w:jc w:val="center"/>
                  </w:pPr>
                  <w:r>
                    <w:t xml:space="preserve">2000</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left"/>
                    <w:jc w:val="center"/>
                  </w:pPr>
                  <w:r>
                    <w:t xml:space="preserve">35% (74)</w:t>
                  </w:r>
                </w:p>
              </w:tc>
            </w:tr>
            <w:tr>
              <w:tc>
                <w:tcPr/>
                <w:p>
                  <w:pPr>
                    <w:pStyle w:val="Compact"/>
                    <w:jc w:val="right"/>
                    <w:jc w:val="center"/>
                  </w:pPr>
                  <w:r>
                    <w:t xml:space="preserve">2001</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left"/>
                    <w:jc w:val="center"/>
                  </w:pPr>
                  <w:r>
                    <w:t xml:space="preserve">13% (23)</w:t>
                  </w:r>
                </w:p>
              </w:tc>
            </w:tr>
            <w:tr>
              <w:tc>
                <w:tcPr/>
                <w:p>
                  <w:pPr>
                    <w:pStyle w:val="Compact"/>
                    <w:jc w:val="right"/>
                    <w:jc w:val="center"/>
                  </w:pPr>
                  <w:r>
                    <w:t xml:space="preserve">2002</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left"/>
                    <w:jc w:val="center"/>
                  </w:pPr>
                  <w:r>
                    <w:t xml:space="preserve">13% (23)</w:t>
                  </w:r>
                </w:p>
              </w:tc>
            </w:tr>
            <w:tr>
              <w:tc>
                <w:tcPr/>
                <w:p>
                  <w:pPr>
                    <w:pStyle w:val="Compact"/>
                    <w:jc w:val="right"/>
                    <w:jc w:val="center"/>
                  </w:pPr>
                  <w:r>
                    <w:t xml:space="preserve">2003</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left"/>
                    <w:jc w:val="center"/>
                  </w:pPr>
                  <w:r>
                    <w:t xml:space="preserve">18% (18)</w:t>
                  </w:r>
                </w:p>
              </w:tc>
            </w:tr>
            <w:tr>
              <w:tc>
                <w:tcPr/>
                <w:p>
                  <w:pPr>
                    <w:pStyle w:val="Compact"/>
                    <w:jc w:val="right"/>
                    <w:jc w:val="center"/>
                  </w:pPr>
                  <w:r>
                    <w:t xml:space="preserve">2004</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left"/>
                    <w:jc w:val="center"/>
                  </w:pPr>
                  <w:r>
                    <w:t xml:space="preserve">23% (33)</w:t>
                  </w:r>
                </w:p>
              </w:tc>
            </w:tr>
            <w:tr>
              <w:tc>
                <w:tcPr/>
                <w:p>
                  <w:pPr>
                    <w:pStyle w:val="Compact"/>
                    <w:jc w:val="right"/>
                    <w:jc w:val="center"/>
                  </w:pPr>
                  <w:r>
                    <w:t xml:space="preserve">2005</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left"/>
                    <w:jc w:val="center"/>
                  </w:pPr>
                  <w:r>
                    <w:t xml:space="preserve">42% (36)</w:t>
                  </w:r>
                </w:p>
              </w:tc>
            </w:tr>
            <w:tr>
              <w:tc>
                <w:tcPr/>
                <w:p>
                  <w:pPr>
                    <w:pStyle w:val="Compact"/>
                    <w:jc w:val="right"/>
                    <w:jc w:val="center"/>
                  </w:pPr>
                  <w:r>
                    <w:t xml:space="preserve">2006</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left"/>
                    <w:jc w:val="center"/>
                  </w:pPr>
                  <w:r>
                    <w:t xml:space="preserve">66% (49)</w:t>
                  </w:r>
                </w:p>
              </w:tc>
            </w:tr>
            <w:tr>
              <w:tc>
                <w:tcPr/>
                <w:p>
                  <w:pPr>
                    <w:pStyle w:val="Compact"/>
                    <w:jc w:val="right"/>
                    <w:jc w:val="center"/>
                  </w:pPr>
                  <w:r>
                    <w:t xml:space="preserve">2007</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left"/>
                    <w:jc w:val="center"/>
                  </w:pPr>
                  <w:r>
                    <w:t xml:space="preserve">40% (2)</w:t>
                  </w:r>
                </w:p>
              </w:tc>
            </w:tr>
            <w:tr>
              <w:tc>
                <w:tcPr/>
                <w:p>
                  <w:pPr>
                    <w:pStyle w:val="Compact"/>
                    <w:jc w:val="right"/>
                    <w:jc w:val="center"/>
                  </w:pPr>
                  <w:r>
                    <w:t xml:space="preserve">2008</w:t>
                  </w:r>
                </w:p>
              </w:tc>
              <w:tc>
                <w:tcPr/>
                <w:p>
                  <w:pPr>
                    <w:pStyle w:val="Compact"/>
                    <w:jc w:val="right"/>
                    <w:jc w:val="center"/>
                  </w:pPr>
                  <w:r>
                    <w:t xml:space="preserve">335</w:t>
                  </w:r>
                </w:p>
              </w:tc>
              <w:tc>
                <w:tcPr/>
                <w:p>
                  <w:pPr>
                    <w:pStyle w:val="Compact"/>
                    <w:jc w:val="right"/>
                    <w:jc w:val="center"/>
                  </w:pPr>
                  <w:r>
                    <w:t xml:space="preserve">140</w:t>
                  </w:r>
                </w:p>
              </w:tc>
              <w:tc>
                <w:tcPr/>
                <w:p>
                  <w:pPr>
                    <w:pStyle w:val="Compact"/>
                    <w:jc w:val="right"/>
                    <w:jc w:val="center"/>
                  </w:pPr>
                  <w:r>
                    <w:t xml:space="preserve">60</w:t>
                  </w:r>
                </w:p>
              </w:tc>
              <w:tc>
                <w:tcPr/>
                <w:p>
                  <w:pPr>
                    <w:pStyle w:val="Compact"/>
                    <w:jc w:val="left"/>
                    <w:jc w:val="center"/>
                  </w:pPr>
                  <w:r>
                    <w:t xml:space="preserve">78% (47)</w:t>
                  </w:r>
                </w:p>
              </w:tc>
            </w:tr>
          </w:tbl>
          <w:bookmarkEnd w:id="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odds1"/>
          <w:p>
            <w:pPr>
              <w:jc w:val="center"/>
            </w:pPr>
            <w:pPr>
              <w:jc w:val="left"/>
              <w:spacing w:before="200"/>
              <w:pStyle w:val="ImageCaption"/>
            </w:pPr>
            <w:r>
              <w:t xml:space="preserve">TABLE 2. Odds ratios for all fixed effects of the Bayesian generalised linear model testing temporal changes in the breeding status of Atlantic puffins (</w:t>
            </w:r>
            <w:r>
              <w:rPr>
                <w:i/>
                <w:iCs/>
              </w:rPr>
              <w:t xml:space="preserve">Fratercula arctica</w:t>
            </w:r>
            <w:r>
              <w:t xml:space="preserve">) harvest in Føroyar (1995-2008). The model included breeding status (0 = never bred, 1 = has bred) as response variable, and year, brood patch (0 = absent, 1 = present), and their interaction as covariates.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5.55</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 (BP)</w:t>
                  </w:r>
                </w:p>
              </w:tc>
              <w:tc>
                <w:tcPr/>
                <w:p>
                  <w:pPr>
                    <w:pStyle w:val="Compact"/>
                    <w:jc w:val="right"/>
                    <w:jc w:val="center"/>
                  </w:pPr>
                  <w:r>
                    <w:t xml:space="preserve">24.85</w:t>
                  </w:r>
                </w:p>
              </w:tc>
              <w:tc>
                <w:tcPr/>
                <w:p>
                  <w:pPr>
                    <w:pStyle w:val="Compact"/>
                    <w:jc w:val="right"/>
                    <w:jc w:val="center"/>
                  </w:pPr>
                  <w:r>
                    <w:t xml:space="preserve">16.99</w:t>
                  </w:r>
                </w:p>
              </w:tc>
              <w:tc>
                <w:tcPr/>
                <w:p>
                  <w:pPr>
                    <w:pStyle w:val="Compact"/>
                    <w:jc w:val="right"/>
                    <w:jc w:val="center"/>
                  </w:pPr>
                  <w:r>
                    <w:t xml:space="preserve">37.13</w:t>
                  </w:r>
                </w:p>
              </w:tc>
            </w:tr>
            <w:tr>
              <w:tc>
                <w:tcPr/>
                <w:p>
                  <w:pPr>
                    <w:pStyle w:val="Compact"/>
                    <w:jc w:val="left"/>
                    <w:jc w:val="center"/>
                  </w:pPr>
                  <w:r>
                    <w:t xml:space="preserve">Year: BP</w:t>
                  </w:r>
                </w:p>
              </w:tc>
              <w:tc>
                <w:tcPr/>
                <w:p>
                  <w:pPr>
                    <w:pStyle w:val="Compact"/>
                    <w:jc w:val="right"/>
                    <w:jc w:val="center"/>
                  </w:pPr>
                  <w:r>
                    <w:t xml:space="preserve">0.46</w:t>
                  </w:r>
                </w:p>
              </w:tc>
              <w:tc>
                <w:tcPr/>
                <w:p>
                  <w:pPr>
                    <w:pStyle w:val="Compact"/>
                    <w:jc w:val="right"/>
                    <w:jc w:val="center"/>
                  </w:pPr>
                  <w:r>
                    <w:t xml:space="preserve">0.17</w:t>
                  </w:r>
                </w:p>
              </w:tc>
              <w:tc>
                <w:tcPr/>
                <w:p>
                  <w:pPr>
                    <w:pStyle w:val="Compact"/>
                    <w:jc w:val="right"/>
                    <w:jc w:val="center"/>
                  </w:pPr>
                  <w:r>
                    <w:t xml:space="preserve">1.32</w:t>
                  </w:r>
                </w:p>
              </w:tc>
            </w:tr>
          </w:tbl>
          <w:bookmarkEnd w:id="30"/>
          <w:p/>
        </w:tc>
      </w:tr>
    </w:tbl>
    <w:bookmarkEnd w:id="31"/>
    <w:bookmarkStart w:id="81" w:name="references"/>
    <w:p>
      <w:pPr>
        <w:pStyle w:val="Heading1"/>
      </w:pPr>
      <w:r>
        <w:t xml:space="preserve">REFERENCES</w:t>
      </w:r>
    </w:p>
    <w:bookmarkStart w:id="80" w:name="refs"/>
    <w:bookmarkStart w:id="33" w:name="ref-ashcroftSurvivalRatesBreeding1979"/>
    <w:p>
      <w:pPr>
        <w:pStyle w:val="Bibliography"/>
      </w:pPr>
      <w:r>
        <w:t xml:space="preserve">Ashcroft, R. E. (1979). Survival</w:t>
      </w:r>
      <w:r>
        <w:t xml:space="preserve"> </w:t>
      </w:r>
      <w:r>
        <w:t xml:space="preserve">Rates</w:t>
      </w:r>
      <w:r>
        <w:t xml:space="preserve"> </w:t>
      </w:r>
      <w:r>
        <w:t xml:space="preserve">and</w:t>
      </w:r>
      <w:r>
        <w:t xml:space="preserve"> </w:t>
      </w:r>
      <w:r>
        <w:t xml:space="preserve">Breeding Biology</w:t>
      </w:r>
      <w:r>
        <w:t xml:space="preserve"> </w:t>
      </w:r>
      <w:r>
        <w:t xml:space="preserve">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32">
        <w:r>
          <w:rPr>
            <w:rStyle w:val="Hyperlink"/>
          </w:rPr>
          <w:t xml:space="preserve">https://doi.org/10.2307/3676349</w:t>
        </w:r>
      </w:hyperlink>
    </w:p>
    <w:bookmarkEnd w:id="33"/>
    <w:bookmarkStart w:id="35" w:name="ref-ausemsVariationFoodAvailability2026"/>
    <w:p>
      <w:pPr>
        <w:pStyle w:val="Bibliography"/>
      </w:pPr>
      <w:r>
        <w:t xml:space="preserve">Ausems, A. N. M. A., Jakubas, D., Jensen, J.,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w:t>
      </w:r>
      <w:r>
        <w:rPr>
          <w:i/>
          <w:iCs/>
        </w:rPr>
        <w:t xml:space="preserve"> </w:t>
      </w:r>
      <w:r>
        <w:rPr>
          <w:i/>
          <w:iCs/>
        </w:rPr>
        <w:t xml:space="preserve">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34">
        <w:r>
          <w:rPr>
            <w:rStyle w:val="Hyperlink"/>
          </w:rPr>
          <w:t xml:space="preserve">https://doi.org/10.1002/wlb3.01546</w:t>
        </w:r>
      </w:hyperlink>
    </w:p>
    <w:bookmarkEnd w:id="35"/>
    <w:bookmarkStart w:id="37" w:name="ref-baileyIncubationPatchPasserine1952"/>
    <w:p>
      <w:pPr>
        <w:pStyle w:val="Bibliography"/>
      </w:pPr>
      <w:r>
        <w:t xml:space="preserve">Bailey, R. E. (1952). The</w:t>
      </w:r>
      <w:r>
        <w:t xml:space="preserve"> </w:t>
      </w:r>
      <w:r>
        <w:t xml:space="preserve">Incubation Patch</w:t>
      </w:r>
      <w:r>
        <w:t xml:space="preserve"> </w:t>
      </w:r>
      <w:r>
        <w:t xml:space="preserve">of</w:t>
      </w:r>
      <w:r>
        <w:t xml:space="preserve"> </w:t>
      </w:r>
      <w:r>
        <w:t xml:space="preserve">Passerine Birds</w:t>
      </w:r>
      <w:r>
        <w:t xml:space="preserve">.</w:t>
      </w:r>
      <w:r>
        <w:t xml:space="preserve"> </w:t>
      </w:r>
      <w:r>
        <w:rPr>
          <w:i/>
          <w:iCs/>
        </w:rPr>
        <w:t xml:space="preserve">The Condor</w:t>
      </w:r>
      <w:r>
        <w:t xml:space="preserve">,</w:t>
      </w:r>
      <w:r>
        <w:t xml:space="preserve"> </w:t>
      </w:r>
      <w:r>
        <w:rPr>
          <w:i/>
          <w:iCs/>
        </w:rPr>
        <w:t xml:space="preserve">54</w:t>
      </w:r>
      <w:r>
        <w:t xml:space="preserve">(3), 121–136.</w:t>
      </w:r>
      <w:r>
        <w:t xml:space="preserve"> </w:t>
      </w:r>
      <w:hyperlink r:id="rId36">
        <w:r>
          <w:rPr>
            <w:rStyle w:val="Hyperlink"/>
          </w:rPr>
          <w:t xml:space="preserve">https://doi.org/10.2307/1365062</w:t>
        </w:r>
      </w:hyperlink>
    </w:p>
    <w:bookmarkEnd w:id="37"/>
    <w:bookmarkStart w:id="39"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 E.</w:t>
      </w:r>
      <w:r>
        <w:rPr>
          <w:i/>
          <w:iCs/>
        </w:rPr>
        <w:t xml:space="preserve">T22694927A132581443</w:t>
      </w:r>
      <w:r>
        <w:t xml:space="preserve">.</w:t>
      </w:r>
      <w:r>
        <w:t xml:space="preserve"> </w:t>
      </w:r>
      <w:hyperlink r:id="rId38">
        <w:r>
          <w:rPr>
            <w:rStyle w:val="Hyperlink"/>
          </w:rPr>
          <w:t xml:space="preserve">https://doi.org/10.2305/IUCN.UK.2018-2.RLTS.T22694927A132581443.en</w:t>
        </w:r>
      </w:hyperlink>
    </w:p>
    <w:bookmarkEnd w:id="39"/>
    <w:bookmarkStart w:id="41"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w:t>
      </w:r>
      <w:r>
        <w:rPr>
          <w:i/>
          <w:i/>
          <w:iCs/>
          <w:iCs/>
        </w:rPr>
        <w:t xml:space="preserve"> </w:t>
      </w:r>
      <w:r>
        <w:rPr>
          <w:i/>
          <w:i/>
          <w:iCs/>
          <w:iCs/>
        </w:rPr>
        <w:t xml:space="preserve">Arctica</w:t>
      </w:r>
      <w:r>
        <w:t xml:space="preserve">.</w:t>
      </w:r>
      <w:r>
        <w:t xml:space="preserve"> </w:t>
      </w:r>
      <w:hyperlink r:id="rId40">
        <w:r>
          <w:rPr>
            <w:rStyle w:val="Hyperlink"/>
          </w:rPr>
          <w:t xml:space="preserve">https://datazone.birdlife.org/species/factsheet/atlantic-puffin-fratercula-arctica</w:t>
        </w:r>
      </w:hyperlink>
    </w:p>
    <w:bookmarkEnd w:id="41"/>
    <w:bookmarkStart w:id="43"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42">
        <w:r>
          <w:rPr>
            <w:rStyle w:val="Hyperlink"/>
          </w:rPr>
          <w:t xml:space="preserve">https://doi.org/10.18637/jss.v080.i01</w:t>
        </w:r>
      </w:hyperlink>
    </w:p>
    <w:bookmarkEnd w:id="43"/>
    <w:bookmarkStart w:id="45"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44">
        <w:r>
          <w:rPr>
            <w:rStyle w:val="Hyperlink"/>
          </w:rPr>
          <w:t xml:space="preserve">https://doi.org/10.1002/ecs2.1283</w:t>
        </w:r>
      </w:hyperlink>
    </w:p>
    <w:bookmarkEnd w:id="45"/>
    <w:bookmarkStart w:id="47"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46">
        <w:r>
          <w:rPr>
            <w:rStyle w:val="Hyperlink"/>
          </w:rPr>
          <w:t xml:space="preserve">https://doi.org/10.1016/j.biocon.2019.06.033</w:t>
        </w:r>
      </w:hyperlink>
    </w:p>
    <w:bookmarkEnd w:id="47"/>
    <w:bookmarkStart w:id="49"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48">
        <w:r>
          <w:rPr>
            <w:rStyle w:val="Hyperlink"/>
          </w:rPr>
          <w:t xml:space="preserve">https://doi.org/10.1111/j.0030-1299.2004.13119.x</w:t>
        </w:r>
      </w:hyperlink>
    </w:p>
    <w:bookmarkEnd w:id="49"/>
    <w:bookmarkStart w:id="51"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50">
        <w:r>
          <w:rPr>
            <w:rStyle w:val="Hyperlink"/>
          </w:rPr>
          <w:t xml:space="preserve">https://doi.org/10.1111/j.1461-0248.2004.00588.x</w:t>
        </w:r>
      </w:hyperlink>
    </w:p>
    <w:bookmarkEnd w:id="51"/>
    <w:bookmarkStart w:id="52"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 1152–1164.</w:t>
      </w:r>
    </w:p>
    <w:bookmarkEnd w:id="52"/>
    <w:bookmarkStart w:id="54" w:name="X402cb5e1a4e69ff49497d0188bad825f79b15d6"/>
    <w:p>
      <w:pPr>
        <w:pStyle w:val="Bibliography"/>
      </w:pPr>
      <w:r>
        <w:t xml:space="preserve">Gabry, J., Simpson, D., Vehtari, A., Betancourt, M., &amp; Gelman, A. (2019). Visualization in</w:t>
      </w:r>
      <w:r>
        <w:t xml:space="preserve"> </w:t>
      </w:r>
      <w:r>
        <w:t xml:space="preserve">Bayesian Workflow</w:t>
      </w:r>
      <w:r>
        <w:t xml:space="preserve">.</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53">
        <w:r>
          <w:rPr>
            <w:rStyle w:val="Hyperlink"/>
          </w:rPr>
          <w:t xml:space="preserve">https://doi.org/10.1111/rssa.12378</w:t>
        </w:r>
      </w:hyperlink>
    </w:p>
    <w:bookmarkEnd w:id="54"/>
    <w:bookmarkStart w:id="56"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55">
        <w:r>
          <w:rPr>
            <w:rStyle w:val="Hyperlink"/>
          </w:rPr>
          <w:t xml:space="preserve">https://www3.stat.sinica.edu.tw/statistica/j6n4/j6n41/j6n41.htm</w:t>
        </w:r>
      </w:hyperlink>
    </w:p>
    <w:bookmarkEnd w:id="56"/>
    <w:bookmarkStart w:id="57"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57"/>
    <w:bookmarkStart w:id="59"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58">
        <w:r>
          <w:rPr>
            <w:rStyle w:val="Hyperlink"/>
          </w:rPr>
          <w:t xml:space="preserve">https://doi.org/10.1111/j.0030-1299.2005.13351.x</w:t>
        </w:r>
      </w:hyperlink>
    </w:p>
    <w:bookmarkEnd w:id="59"/>
    <w:bookmarkStart w:id="60"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60"/>
    <w:bookmarkStart w:id="61"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fuglafrøḥifelag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61"/>
    <w:bookmarkStart w:id="62"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62"/>
    <w:bookmarkStart w:id="64" w:name="ref-jonesIncubationPatchBirds1971"/>
    <w:p>
      <w:pPr>
        <w:pStyle w:val="Bibliography"/>
      </w:pPr>
      <w:r>
        <w:t xml:space="preserve">Jones, R. E. (1971). The</w:t>
      </w:r>
      <w:r>
        <w:t xml:space="preserve"> </w:t>
      </w:r>
      <w:r>
        <w:t xml:space="preserve">Incubation Patch</w:t>
      </w:r>
      <w:r>
        <w:t xml:space="preserve"> </w:t>
      </w:r>
      <w:r>
        <w:t xml:space="preserve">of</w:t>
      </w:r>
      <w:r>
        <w:t xml:space="preserve"> </w:t>
      </w:r>
      <w:r>
        <w:t xml:space="preserve">Birds</w:t>
      </w:r>
      <w:r>
        <w:t xml:space="preserve">.</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63">
        <w:r>
          <w:rPr>
            <w:rStyle w:val="Hyperlink"/>
          </w:rPr>
          <w:t xml:space="preserve">https://doi.org/10.1111/j.1469-185X.1971.tb01048.x</w:t>
        </w:r>
      </w:hyperlink>
    </w:p>
    <w:bookmarkEnd w:id="64"/>
    <w:bookmarkStart w:id="65" w:name="Xe19625febeb906ccdb6e58cd53cb47af33dcf28"/>
    <w:p>
      <w:pPr>
        <w:pStyle w:val="Bibliography"/>
      </w:pPr>
      <w:r>
        <w:t xml:space="preserve">Løgtingslóg Um Fuglaveiðu, Sum Seinast Broytt Við Løgtingslóg Nr. 70 Frá 22. Mai 2023 (1984).</w:t>
      </w:r>
    </w:p>
    <w:bookmarkEnd w:id="65"/>
    <w:bookmarkStart w:id="67" w:name="ref-lowtherAtlanticPuffinFratercula2020"/>
    <w:p>
      <w:pPr>
        <w:pStyle w:val="Bibliography"/>
      </w:pPr>
      <w:r>
        <w:t xml:space="preserve">Lowther, P. E., Diamond, A. W., Kress, S. W., Robertson, G. J., Russell, K., Nettleship, D. N., Kirwan, G. M., Christie, D. A., Sharpe, C. J., Garcia, E. F. J., &amp; Boesman, P. F. D. (2020). Atlantic puffin (</w:t>
      </w:r>
      <w:r>
        <w:t xml:space="preserve">Fratercula</w:t>
      </w:r>
      <w:r>
        <w:t xml:space="preserve"> </w:t>
      </w:r>
      <w:r>
        <w:t xml:space="preserve">arctica), ver. 1.0. In S. M. Billerman (Ed.),</w:t>
      </w:r>
      <w:r>
        <w:t xml:space="preserve"> </w:t>
      </w:r>
      <w:r>
        <w:rPr>
          <w:i/>
          <w:iCs/>
        </w:rPr>
        <w:t xml:space="preserve">Birds of the world</w:t>
      </w:r>
      <w:r>
        <w:t xml:space="preserve">. Cornell Laboratory of Ornithology.</w:t>
      </w:r>
      <w:r>
        <w:t xml:space="preserve"> </w:t>
      </w:r>
      <w:hyperlink r:id="rId66">
        <w:r>
          <w:rPr>
            <w:rStyle w:val="Hyperlink"/>
          </w:rPr>
          <w:t xml:space="preserve">https://doi.org/10.2173/bow.atlpuf.01</w:t>
        </w:r>
      </w:hyperlink>
    </w:p>
    <w:bookmarkEnd w:id="67"/>
    <w:bookmarkStart w:id="69" w:name="X958f21470482a6a06ce614515743210bd9f3c46"/>
    <w:p>
      <w:pPr>
        <w:pStyle w:val="Bibliography"/>
      </w:pPr>
      <w:r>
        <w:t xml:space="preserve">McFarlane Tranquilla, L. A., Bradley, R. W., Lank, D. B., Williams, T. D., Lougheed, L. W., &amp; Cooke, F. (2003). The</w:t>
      </w:r>
      <w:r>
        <w:t xml:space="preserve"> </w:t>
      </w:r>
      <w:r>
        <w:t xml:space="preserve">Reliability</w:t>
      </w:r>
      <w:r>
        <w:t xml:space="preserve"> </w:t>
      </w:r>
      <w:r>
        <w:t xml:space="preserve">of</w:t>
      </w:r>
      <w:r>
        <w:t xml:space="preserve"> </w:t>
      </w:r>
      <w:r>
        <w:t xml:space="preserve">Brood Patches</w:t>
      </w:r>
      <w:r>
        <w:t xml:space="preserve"> </w:t>
      </w:r>
      <w:r>
        <w:t xml:space="preserve">in</w:t>
      </w:r>
      <w:r>
        <w:t xml:space="preserve"> </w:t>
      </w:r>
      <w:r>
        <w:t xml:space="preserve">Assessing Reproductive Status</w:t>
      </w:r>
      <w:r>
        <w:t xml:space="preserve"> </w:t>
      </w:r>
      <w:r>
        <w:t xml:space="preserve">in the</w:t>
      </w:r>
      <w:r>
        <w:t xml:space="preserve"> </w:t>
      </w:r>
      <w:r>
        <w:t xml:space="preserve">Marbled Murrelet</w:t>
      </w:r>
      <w:r>
        <w:t xml:space="preserve">:</w:t>
      </w:r>
      <w:r>
        <w:t xml:space="preserve"> </w:t>
      </w:r>
      <w:r>
        <w:t xml:space="preserve">Words</w:t>
      </w:r>
      <w:r>
        <w:t xml:space="preserve"> </w:t>
      </w:r>
      <w:r>
        <w:t xml:space="preserve">of</w:t>
      </w:r>
      <w:r>
        <w:t xml:space="preserve"> </w:t>
      </w:r>
      <w:r>
        <w:t xml:space="preserve">Caution</w:t>
      </w:r>
      <w:r>
        <w:t xml:space="preserve">.</w:t>
      </w:r>
      <w:r>
        <w:t xml:space="preserve"> </w:t>
      </w:r>
      <w:r>
        <w:rPr>
          <w:i/>
          <w:iCs/>
        </w:rPr>
        <w:t xml:space="preserve">Waterbirds</w:t>
      </w:r>
      <w:r>
        <w:t xml:space="preserve">,</w:t>
      </w:r>
      <w:r>
        <w:t xml:space="preserve"> </w:t>
      </w:r>
      <w:r>
        <w:rPr>
          <w:i/>
          <w:iCs/>
        </w:rPr>
        <w:t xml:space="preserve">26</w:t>
      </w:r>
      <w:r>
        <w:t xml:space="preserve">(1), 108–118.</w:t>
      </w:r>
      <w:r>
        <w:t xml:space="preserve"> </w:t>
      </w:r>
      <w:hyperlink r:id="rId68">
        <w:r>
          <w:rPr>
            <w:rStyle w:val="Hyperlink"/>
          </w:rPr>
          <w:t xml:space="preserve">https://doi.org/10.1675/1524-4695(2003)026[0108:TROBPI]2.0.CO;2</w:t>
        </w:r>
      </w:hyperlink>
    </w:p>
    <w:bookmarkEnd w:id="69"/>
    <w:bookmarkStart w:id="71"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 Population</w:t>
      </w:r>
      <w:r>
        <w:t xml:space="preserve">:</w:t>
      </w:r>
      <w:r>
        <w:t xml:space="preserve"> </w:t>
      </w:r>
      <w:r>
        <w:t xml:space="preserve">Evaluation</w:t>
      </w:r>
      <w:r>
        <w:t xml:space="preserve"> </w:t>
      </w:r>
      <w:r>
        <w:t xml:space="preserve">of</w:t>
      </w:r>
      <w:r>
        <w:t xml:space="preserve"> </w:t>
      </w:r>
      <w:r>
        <w:t xml:space="preserve">Magnitude</w:t>
      </w:r>
      <w:r>
        <w:t xml:space="preserve"> </w:t>
      </w:r>
      <w:r>
        <w:t xml:space="preserve">and</w:t>
      </w:r>
      <w:r>
        <w:t xml:space="preserve"> </w:t>
      </w:r>
      <w:r>
        <w:t xml:space="preserve">Mechanisms</w:t>
      </w:r>
      <w:r>
        <w:t xml:space="preserve">.</w:t>
      </w:r>
      <w:r>
        <w:t xml:space="preserve"> </w:t>
      </w:r>
      <w:r>
        <w:rPr>
          <w:i/>
          <w:iCs/>
        </w:rPr>
        <w:t xml:space="preserve">PLOS ONE</w:t>
      </w:r>
      <w:r>
        <w:t xml:space="preserve">,</w:t>
      </w:r>
      <w:r>
        <w:t xml:space="preserve"> </w:t>
      </w:r>
      <w:r>
        <w:rPr>
          <w:i/>
          <w:iCs/>
        </w:rPr>
        <w:t xml:space="preserve">10</w:t>
      </w:r>
      <w:r>
        <w:t xml:space="preserve">(7), e0131527.</w:t>
      </w:r>
      <w:r>
        <w:t xml:space="preserve"> </w:t>
      </w:r>
      <w:hyperlink r:id="rId70">
        <w:r>
          <w:rPr>
            <w:rStyle w:val="Hyperlink"/>
          </w:rPr>
          <w:t xml:space="preserve">https://doi.org/10.1371/journal.pone.0131527</w:t>
        </w:r>
      </w:hyperlink>
    </w:p>
    <w:bookmarkEnd w:id="71"/>
    <w:bookmarkStart w:id="72" w:name="ref-sandvikHighSurvivalImmatures2008"/>
    <w:p>
      <w:pPr>
        <w:pStyle w:val="Bibliography"/>
      </w:pPr>
      <w:r>
        <w:t xml:space="preserve">Sandvik, H., Erikstad, K. E., Fauchald, P., &amp; Tveraa, T. (2008). High survival of immatures in a long-lived seabird: Insights from a long-term study of the</w:t>
      </w:r>
      <w:r>
        <w:t xml:space="preserve"> </w:t>
      </w:r>
      <w:r>
        <w:t xml:space="preserve">Atlantic</w:t>
      </w:r>
      <w:r>
        <w:t xml:space="preserve"> </w:t>
      </w:r>
      <w:r>
        <w:t xml:space="preserve">puffin (</w:t>
      </w:r>
      <w:r>
        <w:t xml:space="preserve">Fratercula</w:t>
      </w:r>
      <w:r>
        <w:t xml:space="preserve"> </w:t>
      </w:r>
      <w:r>
        <w:t xml:space="preserve">arctica).</w:t>
      </w:r>
      <w:r>
        <w:t xml:space="preserve"> </w:t>
      </w:r>
      <w:r>
        <w:rPr>
          <w:i/>
          <w:iCs/>
        </w:rPr>
        <w:t xml:space="preserve">Auk</w:t>
      </w:r>
      <w:r>
        <w:t xml:space="preserve">,</w:t>
      </w:r>
      <w:r>
        <w:t xml:space="preserve"> </w:t>
      </w:r>
      <w:r>
        <w:rPr>
          <w:i/>
          <w:iCs/>
        </w:rPr>
        <w:t xml:space="preserve">125</w:t>
      </w:r>
      <w:r>
        <w:t xml:space="preserve">, 723–730.</w:t>
      </w:r>
    </w:p>
    <w:bookmarkEnd w:id="72"/>
    <w:bookmarkStart w:id="74" w:name="ref-vanfraneker2004"/>
    <w:p>
      <w:pPr>
        <w:pStyle w:val="Bibliography"/>
      </w:pPr>
      <w:r>
        <w:t xml:space="preserve">Van Franeker, J. A. (2004).</w:t>
      </w:r>
      <w:r>
        <w:t xml:space="preserve"> </w:t>
      </w:r>
      <w:r>
        <w:rPr>
          <w:i/>
          <w:iCs/>
        </w:rPr>
        <w:t xml:space="preserve">Save the north sea fulmar study 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73">
        <w:r>
          <w:rPr>
            <w:rStyle w:val="Hyperlink"/>
          </w:rPr>
          <w:t xml:space="preserve">https://edepot.wur.nl/40451</w:t>
        </w:r>
      </w:hyperlink>
    </w:p>
    <w:bookmarkEnd w:id="74"/>
    <w:bookmarkStart w:id="76"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75">
        <w:r>
          <w:rPr>
            <w:rStyle w:val="Hyperlink"/>
          </w:rPr>
          <w:t xml:space="preserve">https://doi.org/10.1007/s11222-016-9696-4</w:t>
        </w:r>
      </w:hyperlink>
    </w:p>
    <w:bookmarkEnd w:id="76"/>
    <w:bookmarkStart w:id="78" w:name="Xb381b5d8d6d3401bbb0133a1c086c6f6782b533"/>
    <w:p>
      <w:pPr>
        <w:pStyle w:val="Bibliography"/>
      </w:pPr>
      <w:r>
        <w:t xml:space="preserve">Vehtari, A., Gelman, A., Simpson, D., Carpenter, B., &amp; Bürkner, P.-C. (2021). Rank-</w:t>
      </w:r>
      <w:r>
        <w:t xml:space="preserve">Normalization</w:t>
      </w:r>
      <w:r>
        <w:t xml:space="preserve">,</w:t>
      </w:r>
      <w:r>
        <w:t xml:space="preserve"> </w:t>
      </w:r>
      <w:r>
        <w:t xml:space="preserve">Folding</w:t>
      </w:r>
      <w:r>
        <w:t xml:space="preserve">, and</w:t>
      </w:r>
      <w:r>
        <w:t xml:space="preserve"> </w:t>
      </w:r>
      <w:r>
        <w:t xml:space="preserve">Localization</w:t>
      </w:r>
      <w:r>
        <w:t xml:space="preserve">:</w:t>
      </w:r>
      <w:r>
        <w:t xml:space="preserve"> </w:t>
      </w:r>
      <w:r>
        <w:t xml:space="preserve">An Improved Rˆ</w:t>
      </w:r>
      <w:r>
        <w:t xml:space="preserve"> </w:t>
      </w:r>
      <w:r>
        <w:t xml:space="preserve">for</w:t>
      </w:r>
      <w:r>
        <w:t xml:space="preserve"> </w:t>
      </w:r>
      <w:r>
        <w:t xml:space="preserve">Assessing Convergence</w:t>
      </w:r>
      <w:r>
        <w:t xml:space="preserve"> </w:t>
      </w:r>
      <w:r>
        <w:t xml:space="preserve">of</w:t>
      </w:r>
      <w:r>
        <w:t xml:space="preserve"> </w:t>
      </w:r>
      <w:r>
        <w:t xml:space="preserve">MCMC</w:t>
      </w:r>
      <w:r>
        <w:t xml:space="preserve"> </w:t>
      </w:r>
      <w:r>
        <w:t xml:space="preserve">(with</w:t>
      </w:r>
      <w:r>
        <w:t xml:space="preserve"> </w:t>
      </w:r>
      <w:r>
        <w:t xml:space="preserve">Discussion</w:t>
      </w:r>
      <w:r>
        <w:t xml:space="preserve">).</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77">
        <w:r>
          <w:rPr>
            <w:rStyle w:val="Hyperlink"/>
          </w:rPr>
          <w:t xml:space="preserve">https://doi.org/10.1214/20-BA1221</w:t>
        </w:r>
      </w:hyperlink>
    </w:p>
    <w:bookmarkEnd w:id="78"/>
    <w:bookmarkStart w:id="79"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79"/>
    <w:bookmarkEnd w:id="80"/>
    <w:bookmarkEnd w:id="81"/>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40" Target="https://datazone.birdlife.org/species/factsheet/atlantic-puffin-fratercula-arctica" TargetMode="External" /><Relationship Type="http://schemas.openxmlformats.org/officeDocument/2006/relationships/hyperlink" Id="rId44" Target="https://doi.org/10.1002/ecs2.1283" TargetMode="External" /><Relationship Type="http://schemas.openxmlformats.org/officeDocument/2006/relationships/hyperlink" Id="rId34" Target="https://doi.org/10.1002/wlb3.01546" TargetMode="External" /><Relationship Type="http://schemas.openxmlformats.org/officeDocument/2006/relationships/hyperlink" Id="rId75" Target="https://doi.org/10.1007/s11222-016-9696-4" TargetMode="External" /><Relationship Type="http://schemas.openxmlformats.org/officeDocument/2006/relationships/hyperlink" Id="rId46" Target="https://doi.org/10.1016/j.biocon.2019.06.033" TargetMode="External" /><Relationship Type="http://schemas.openxmlformats.org/officeDocument/2006/relationships/hyperlink" Id="rId48" Target="https://doi.org/10.1111/j.0030-1299.2004.13119.x" TargetMode="External" /><Relationship Type="http://schemas.openxmlformats.org/officeDocument/2006/relationships/hyperlink" Id="rId58" Target="https://doi.org/10.1111/j.0030-1299.2005.13351.x" TargetMode="External" /><Relationship Type="http://schemas.openxmlformats.org/officeDocument/2006/relationships/hyperlink" Id="rId50" Target="https://doi.org/10.1111/j.1461-0248.2004.00588.x" TargetMode="External" /><Relationship Type="http://schemas.openxmlformats.org/officeDocument/2006/relationships/hyperlink" Id="rId63" Target="https://doi.org/10.1111/j.1469-185X.1971.tb01048.x" TargetMode="External" /><Relationship Type="http://schemas.openxmlformats.org/officeDocument/2006/relationships/hyperlink" Id="rId53" Target="https://doi.org/10.1111/rssa.12378" TargetMode="External" /><Relationship Type="http://schemas.openxmlformats.org/officeDocument/2006/relationships/hyperlink" Id="rId77" Target="https://doi.org/10.1214/20-BA1221" TargetMode="External" /><Relationship Type="http://schemas.openxmlformats.org/officeDocument/2006/relationships/hyperlink" Id="rId70" Target="https://doi.org/10.1371/journal.pone.0131527" TargetMode="External" /><Relationship Type="http://schemas.openxmlformats.org/officeDocument/2006/relationships/hyperlink" Id="rId68" Target="https://doi.org/10.1675/1524-4695(2003)026[0108:TROBPI]2.0.CO;2" TargetMode="External" /><Relationship Type="http://schemas.openxmlformats.org/officeDocument/2006/relationships/hyperlink" Id="rId42" Target="https://doi.org/10.18637/jss.v080.i01" TargetMode="External" /><Relationship Type="http://schemas.openxmlformats.org/officeDocument/2006/relationships/hyperlink" Id="rId66" Target="https://doi.org/10.2173/bow.atlpuf.01" TargetMode="External" /><Relationship Type="http://schemas.openxmlformats.org/officeDocument/2006/relationships/hyperlink" Id="rId38" Target="https://doi.org/10.2305/IUCN.UK.2018-2.RLTS.T22694927A132581443.en" TargetMode="External" /><Relationship Type="http://schemas.openxmlformats.org/officeDocument/2006/relationships/hyperlink" Id="rId36" Target="https://doi.org/10.2307/1365062" TargetMode="External" /><Relationship Type="http://schemas.openxmlformats.org/officeDocument/2006/relationships/hyperlink" Id="rId32" Target="https://doi.org/10.2307/3676349" TargetMode="External" /><Relationship Type="http://schemas.openxmlformats.org/officeDocument/2006/relationships/hyperlink" Id="rId73" Target="https://edepot.wur.nl/40451" TargetMode="External" /><Relationship Type="http://schemas.openxmlformats.org/officeDocument/2006/relationships/hyperlink" Id="rId55"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40" Target="https://datazone.birdlife.org/species/factsheet/atlantic-puffin-fratercula-arctica" TargetMode="External" /><Relationship Type="http://schemas.openxmlformats.org/officeDocument/2006/relationships/hyperlink" Id="rId44" Target="https://doi.org/10.1002/ecs2.1283" TargetMode="External" /><Relationship Type="http://schemas.openxmlformats.org/officeDocument/2006/relationships/hyperlink" Id="rId34" Target="https://doi.org/10.1002/wlb3.01546" TargetMode="External" /><Relationship Type="http://schemas.openxmlformats.org/officeDocument/2006/relationships/hyperlink" Id="rId75" Target="https://doi.org/10.1007/s11222-016-9696-4" TargetMode="External" /><Relationship Type="http://schemas.openxmlformats.org/officeDocument/2006/relationships/hyperlink" Id="rId46" Target="https://doi.org/10.1016/j.biocon.2019.06.033" TargetMode="External" /><Relationship Type="http://schemas.openxmlformats.org/officeDocument/2006/relationships/hyperlink" Id="rId48" Target="https://doi.org/10.1111/j.0030-1299.2004.13119.x" TargetMode="External" /><Relationship Type="http://schemas.openxmlformats.org/officeDocument/2006/relationships/hyperlink" Id="rId58" Target="https://doi.org/10.1111/j.0030-1299.2005.13351.x" TargetMode="External" /><Relationship Type="http://schemas.openxmlformats.org/officeDocument/2006/relationships/hyperlink" Id="rId50" Target="https://doi.org/10.1111/j.1461-0248.2004.00588.x" TargetMode="External" /><Relationship Type="http://schemas.openxmlformats.org/officeDocument/2006/relationships/hyperlink" Id="rId63" Target="https://doi.org/10.1111/j.1469-185X.1971.tb01048.x" TargetMode="External" /><Relationship Type="http://schemas.openxmlformats.org/officeDocument/2006/relationships/hyperlink" Id="rId53" Target="https://doi.org/10.1111/rssa.12378" TargetMode="External" /><Relationship Type="http://schemas.openxmlformats.org/officeDocument/2006/relationships/hyperlink" Id="rId77" Target="https://doi.org/10.1214/20-BA1221" TargetMode="External" /><Relationship Type="http://schemas.openxmlformats.org/officeDocument/2006/relationships/hyperlink" Id="rId70" Target="https://doi.org/10.1371/journal.pone.0131527" TargetMode="External" /><Relationship Type="http://schemas.openxmlformats.org/officeDocument/2006/relationships/hyperlink" Id="rId68" Target="https://doi.org/10.1675/1524-4695(2003)026[0108:TROBPI]2.0.CO;2" TargetMode="External" /><Relationship Type="http://schemas.openxmlformats.org/officeDocument/2006/relationships/hyperlink" Id="rId42" Target="https://doi.org/10.18637/jss.v080.i01" TargetMode="External" /><Relationship Type="http://schemas.openxmlformats.org/officeDocument/2006/relationships/hyperlink" Id="rId66" Target="https://doi.org/10.2173/bow.atlpuf.01" TargetMode="External" /><Relationship Type="http://schemas.openxmlformats.org/officeDocument/2006/relationships/hyperlink" Id="rId38" Target="https://doi.org/10.2305/IUCN.UK.2018-2.RLTS.T22694927A132581443.en" TargetMode="External" /><Relationship Type="http://schemas.openxmlformats.org/officeDocument/2006/relationships/hyperlink" Id="rId36" Target="https://doi.org/10.2307/1365062" TargetMode="External" /><Relationship Type="http://schemas.openxmlformats.org/officeDocument/2006/relationships/hyperlink" Id="rId32" Target="https://doi.org/10.2307/3676349" TargetMode="External" /><Relationship Type="http://schemas.openxmlformats.org/officeDocument/2006/relationships/hyperlink" Id="rId73" Target="https://edepot.wur.nl/40451" TargetMode="External" /><Relationship Type="http://schemas.openxmlformats.org/officeDocument/2006/relationships/hyperlink" Id="rId55"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2026-08-02T09:11:20Z</dcterms:created>
  <dcterms:modified xsi:type="dcterms:W3CDTF">2026-08-02T09:11:20Z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