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5.png" ContentType="image/png"/>
  <Override PartName="/word/media/rId9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w:t>
      </w:r>
      <w:r>
        <w:rPr>
          <w:i/>
          <w:iCs/>
        </w:rPr>
        <w:t xml:space="preserve">Fratercula arctica</w:t>
      </w:r>
      <w:r>
        <w:t xml:space="preserve">)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t xml:space="preserve">Ongoing climate change and increasing human-induced environmental change are causing substantial declines in seabirds. The Atlantic puffin (</w:t>
      </w:r>
      <w:r>
        <w:rPr>
          <w:i/>
          <w:iCs/>
        </w:rPr>
        <w:t xml:space="preserve">Fratercula arctica</w:t>
      </w:r>
      <w:r>
        <w:t xml:space="preserve">; 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years (1995-2008) of data on female puffins harvested in</w:t>
      </w:r>
      <w:r>
        <w:t xml:space="preserve"> </w:t>
      </w:r>
      <w:r>
        <w:rPr>
          <w:i/>
          <w:iCs/>
        </w:rPr>
        <w:t xml:space="preserve">Føroyar</w:t>
      </w:r>
      <w:r>
        <w:t xml:space="preserve"> </w:t>
      </w:r>
      <w:r>
        <w:t xml:space="preserve">(Eng. the Faroe Islands) to determine whether the ratio of confirmed breeders (i.e., those females with</w:t>
      </w:r>
      <w:r>
        <w:t xml:space="preserve"> </w:t>
      </w:r>
      <w:r>
        <w:t xml:space="preserve">‘convoluted’</w:t>
      </w:r>
      <w:r>
        <w:t xml:space="preserve"> </w:t>
      </w:r>
      <w:r>
        <w:t xml:space="preserve">oviducts, indicating that had laid an egg at least once in their lifetime) in the harvested sample increased over time. We also scored brood patch as a proxy for ongoing breeding in the sample year, as the harvest was carried out well into the chick rearing period and hormonal brood patches (without active breeding attempt) should have disappeared. We found that the ratio of confirmed breeders increased from approximately 15% in the earlier study years to 78% in 2008, and that within birds without a brood patch, the ratio of confirmed breeders increased as well. Together, we showed that young, pre-breeding birds disappeared from the sample, suggesting a severe lack of recruitment. While the hunt is unlikely to be the main driver of the population decline in</w:t>
      </w:r>
      <w:r>
        <w:t xml:space="preserve"> </w:t>
      </w:r>
      <w:r>
        <w:rPr>
          <w:i/>
          <w:iCs/>
        </w:rPr>
        <w:t xml:space="preserve">Føroyar</w:t>
      </w:r>
      <w:r>
        <w:t xml:space="preserve">, even reduced harvesting is likely unsustainable under currect conditions.</w:t>
      </w:r>
    </w:p>
    <w:p>
      <w:pPr>
        <w:pStyle w:val="BodyText"/>
      </w:pPr>
      <w:r>
        <w:rPr>
          <w:b/>
          <w:bCs/>
        </w:rPr>
        <w:t xml:space="preserve">Key words:</w:t>
      </w:r>
      <w:r>
        <w:t xml:space="preserve"> </w:t>
      </w:r>
      <w:r>
        <w:t xml:space="preserve">demographics, seabirds, traditional harvest, recruitment, brood patch, seabird conservation</w:t>
      </w:r>
    </w:p>
    <w:bookmarkEnd w:id="9"/>
    <w:bookmarkStart w:id="10"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others, including climate change through increased storms</w:t>
      </w:r>
      <w:r>
        <w:t xml:space="preserve"> </w:t>
      </w:r>
      <w:r>
        <w:t xml:space="preserve">(Clairbaux et al., 2021)</w:t>
      </w:r>
      <w:r>
        <w:t xml:space="preserve">,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 In fact, pre-breeders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 (</w:t>
      </w:r>
      <w:r>
        <w:rPr>
          <w:i/>
          <w:iCs/>
        </w:rPr>
        <w:t xml:space="preserve">Fratercula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landkomudagur</w:t>
      </w:r>
      <w:r>
        <w:t xml:space="preserve"> </w:t>
      </w:r>
      <w:r>
        <w:t xml:space="preserve">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 the sample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0"/>
    <w:bookmarkStart w:id="11"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randomly selected puffins harvested on the islands of Nólsoy from 1989 to 2006, and on Mykines from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w:t>
      </w:r>
      <w:r>
        <w:t xml:space="preserve"> </w:t>
      </w:r>
      <w:hyperlink w:anchor="tbl-harvest">
        <w:r>
          <w:rPr>
            <w:rStyle w:val="Hyperlink"/>
          </w:rPr>
          <w:t xml:space="preserve">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breeding age</w:t>
      </w:r>
      <w:r>
        <w:t xml:space="preserve"> </w:t>
      </w:r>
      <w:r>
        <w:t xml:space="preserve">(Van Franeker, 2004)</w:t>
      </w:r>
      <w:r>
        <w:t xml:space="preserve">. For males, it is impossible to determine whether they have bred before. Based on bill characteristics, we could only determine their age up to 4 years</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(n = 1995). We removed individuals for which breeding state could not be determined (n = 74) and individuals for which brood patch was not scored (n =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w:t>
      </w:r>
      <w:r>
        <w:rPr>
          <w:b/>
          <w:bCs/>
        </w:rPr>
        <w:t xml:space="preserve">rcoreteamRLanguageEnvironment2026?</w:t>
      </w:r>
      <w:r>
        <w:t xml:space="preserve">)</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bookmarkEnd w:id="11"/>
    <w:bookmarkStart w:id="12" w:name="results"/>
    <w:p>
      <w:pPr>
        <w:pStyle w:val="Heading1"/>
      </w:pPr>
      <w:r>
        <w:t xml:space="preserve">Results</w:t>
      </w:r>
    </w:p>
    <w:p>
      <w:pPr>
        <w:pStyle w:val="FirstParagraph"/>
      </w:pPr>
      <w:r>
        <w:t xml:space="preserve">The model passed the validation checks (Appendix 1) with all</w:t>
      </w:r>
      <w:r>
        <w:t xml:space="preserve"> </w:t>
      </w:r>
      <m:oMath>
        <m:acc>
          <m:accPr>
            <m:chr m:val="̂"/>
          </m:accPr>
          <m:e>
            <m:r>
              <m:t>R</m:t>
            </m:r>
          </m:e>
        </m:acc>
      </m:oMath>
      <w:r>
        <w:t xml:space="preserve"> </w:t>
      </w:r>
      <w:r>
        <w:t xml:space="preserve">≤ 1.001 and high ESS (bulk/tail ESS &gt; 8,900 of 12,000 post-warmup draws). All Pareto k estimates were &lt; 0.7 (expected log pointwise predictive density (ELPD) ± standard error (SE) = -856.24 ± 26.99, effective parameters ± SE = 3.69 ± 0.28). The robustness check models also passed all checks (Appendix 1).</w:t>
      </w:r>
    </w:p>
    <w:p>
      <w:pPr>
        <w:pStyle w:val="BodyText"/>
      </w:pPr>
      <w:r>
        <w:t xml:space="preserve">The GLM showed an increase in the ratio of females that had bred over time (</w:t>
      </w:r>
      <w:hyperlink w:anchor="fig-marg-bar">
        <w:r>
          <w:rPr>
            <w:rStyle w:val="Hyperlink"/>
          </w:rPr>
          <w:t xml:space="preserve">Fig. 2</w:t>
        </w:r>
      </w:hyperlink>
      <w:r>
        <w:t xml:space="preserve">), with a stronger increase within females without a brood patch than females with a brood patch (</w:t>
      </w:r>
      <w:hyperlink w:anchor="fig-pred1">
        <w:r>
          <w:rPr>
            <w:rStyle w:val="Hyperlink"/>
          </w:rPr>
          <w:t xml:space="preserve">Fig. 3</w:t>
        </w:r>
      </w:hyperlink>
      <w:r>
        <w:t xml:space="preserve">). Averaged across the sample (integrating over the observed proportion of brood patch presence;</w:t>
      </w:r>
      <w:r>
        <w:t xml:space="preserve"> </w:t>
      </w:r>
      <w:hyperlink w:anchor="fig-marg-bar">
        <w:r>
          <w:rPr>
            <w:rStyle w:val="Hyperlink"/>
          </w:rPr>
          <w:t xml:space="preserve">Fig. 2</w:t>
        </w:r>
      </w:hyperlink>
      <w:r>
        <w:t xml:space="preserve">),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confirmed breeding-age female (odds ratio 0.90/decade; 95% CI [0.56-1.44]; posterior probability = 67.7;</w:t>
      </w:r>
      <w:r>
        <w:t xml:space="preserve"> </w:t>
      </w:r>
      <w:hyperlink w:anchor="fig-pred2">
        <w:r>
          <w:rPr>
            <w:rStyle w:val="Hyperlink"/>
          </w:rPr>
          <w:t xml:space="preserve">Fig. 4</w:t>
        </w:r>
      </w:hyperlink>
      <w:r>
        <w:t xml:space="preserve">). Removing 2007 did not change the model predictions (Δ odds ratio, full model minus 2007-excluded refit: intercept +0.00, year +0.00, brood patch presence -0.06, interaction +0.00).</w:t>
      </w:r>
    </w:p>
    <w:bookmarkEnd w:id="12"/>
    <w:bookmarkStart w:id="13" w:name="discussion"/>
    <w:p>
      <w:pPr>
        <w:pStyle w:val="Heading1"/>
      </w:pPr>
      <w:r>
        <w:t xml:space="preserve">Discussion</w:t>
      </w:r>
    </w:p>
    <w:p>
      <w:pPr>
        <w:pStyle w:val="FirstParagraph"/>
      </w:pPr>
      <w:r>
        <w:t xml:space="preserve">Our results show that the self-imposed rules were reasonably effective early in the study period when approximately 15-30% of the female harvest were birds of confirmed breeding age (</w:t>
      </w:r>
      <w:hyperlink w:anchor="tbl-harvest">
        <w:r>
          <w:rPr>
            <w:rStyle w:val="Hyperlink"/>
          </w:rPr>
          <w:t xml:space="preserve">Table 1</w:t>
        </w:r>
      </w:hyperlink>
      <w:r>
        <w:t xml:space="preserve">). However, in the later years leading up to the suspension of the harvest, the number of birds of confirmed breeding age steeply increased to a peak of 78% (</w:t>
      </w:r>
      <w:hyperlink w:anchor="tbl-harvest">
        <w:r>
          <w:rPr>
            <w:rStyle w:val="Hyperlink"/>
          </w:rPr>
          <w:t xml:space="preserve">Table 1</w:t>
        </w:r>
      </w:hyperlink>
      <w:r>
        <w:t xml:space="preserve">). Furthermore, by including brood patch presence in the model, we showed that 1) bird of breeding age are not more or less likely to attempt breeding in a given year, and 2) within the group of birds without a brood patch, birds of breeding age are more prevalent (</w:t>
      </w:r>
      <w:hyperlink w:anchor="fig-marg-bar">
        <w:r>
          <w:rPr>
            <w:rStyle w:val="Hyperlink"/>
          </w:rPr>
          <w:t xml:space="preserve">Fig. 2</w:t>
        </w:r>
      </w:hyperlink>
      <w:r>
        <w:t xml:space="preserve">). Together, this indicates that the group of non-breeding birds is disappearing from the sample, rather than brood patch detectability changing in birds of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but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more likely to be caught as breeding success declining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Overall, we believe that the harvested sample, although intentionally biased towards younger birds, represents an ongoing trend in the whole Faroese, and potentially north Atlantic, population of insufficient recruitment in puffins causing an aging effect in the overall population</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w:t>
      </w:r>
    </w:p>
    <w:bookmarkEnd w:id="13"/>
    <w:bookmarkStart w:id="14"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Most importantly, we would like to thank the hunters who shared puffins for use in this study. Puffins were obtained using private funds and a small contribution from Havstovan - Faroe Marine Research Institute.</w:t>
      </w:r>
    </w:p>
    <w:bookmarkEnd w:id="14"/>
    <w:bookmarkStart w:id="15" w:name="author-contributions"/>
    <w:p>
      <w:pPr>
        <w:pStyle w:val="Heading1"/>
      </w:pPr>
      <w:r>
        <w:t xml:space="preserve">Author contributions</w:t>
      </w:r>
    </w:p>
    <w:p>
      <w:pPr>
        <w:pStyle w:val="FirstParagraph"/>
      </w:pPr>
      <w:r>
        <w:t xml:space="preserve">AA: conceptualisation; data curation; formal analysis; methodology; validation; visualisation; writing - original draft</w:t>
      </w:r>
    </w:p>
    <w:p>
      <w:pPr>
        <w:pStyle w:val="BodyText"/>
      </w:pPr>
      <w:r>
        <w:t xml:space="preserve">JKJ: conceptualisation; data curation; investigation; methodology; resources; writing - review and editing</w:t>
      </w:r>
    </w:p>
    <w:bookmarkEnd w:id="15"/>
    <w:bookmarkStart w:id="18"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6">
        <w:r>
          <w:rPr>
            <w:rStyle w:val="Hyperlink"/>
          </w:rPr>
          <w:t xml:space="preserve">https://github.com/AnneAus/puffin_female_harvest</w:t>
        </w:r>
      </w:hyperlink>
      <w:r>
        <w:t xml:space="preserve">, archived at Zenodo:</w:t>
      </w:r>
      <w:r>
        <w:t xml:space="preserve"> </w:t>
      </w:r>
      <w:hyperlink r:id="rId17">
        <w:r>
          <w:rPr>
            <w:rStyle w:val="Hyperlink"/>
          </w:rPr>
          <w:t xml:space="preserve">https://doi.org/10.5281/zenodo.21780561</w:t>
        </w:r>
      </w:hyperlink>
      <w:r>
        <w:t xml:space="preserve"> </w:t>
      </w:r>
      <w:r>
        <w:t xml:space="preserve">(Ausems &amp; Jensen, 2026)</w:t>
      </w:r>
      <w:r>
        <w:t xml:space="preserve">.</w:t>
      </w:r>
    </w:p>
    <w:bookmarkEnd w:id="18"/>
    <w:bookmarkStart w:id="102" w:name="references"/>
    <w:p>
      <w:pPr>
        <w:pStyle w:val="Heading1"/>
      </w:pPr>
      <w:r>
        <w:t xml:space="preserve">REFERENCES</w:t>
      </w:r>
    </w:p>
    <w:bookmarkStart w:id="79" w:name="refs"/>
    <w:bookmarkStart w:id="20"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9">
        <w:r>
          <w:rPr>
            <w:rStyle w:val="Hyperlink"/>
          </w:rPr>
          <w:t xml:space="preserve">https://doi.org/10.2307/3676349</w:t>
        </w:r>
      </w:hyperlink>
    </w:p>
    <w:bookmarkEnd w:id="20"/>
    <w:bookmarkStart w:id="22"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1">
        <w:r>
          <w:rPr>
            <w:rStyle w:val="Hyperlink"/>
          </w:rPr>
          <w:t xml:space="preserve">https://doi.org/10.1002/wlb3.01546</w:t>
        </w:r>
      </w:hyperlink>
    </w:p>
    <w:bookmarkEnd w:id="22"/>
    <w:bookmarkStart w:id="24" w:name="X5001aa68545cec2af7068c5799e4bc0a6cad2bc"/>
    <w:p>
      <w:pPr>
        <w:pStyle w:val="Bibliography"/>
      </w:pPr>
      <w:r>
        <w:t xml:space="preserve">Ausems, A. N. M. A., &amp; Jensen, J.-K. (2026).</w:t>
      </w:r>
      <w:r>
        <w:t xml:space="preserve"> </w:t>
      </w:r>
      <w:r>
        <w:rPr>
          <w:i/>
          <w:iCs/>
        </w:rPr>
        <w:t xml:space="preserve">Puffin_female_harvest: Code and data for ’</w:t>
      </w:r>
      <w:r>
        <w:rPr>
          <w:i/>
          <w:iCs/>
        </w:rPr>
        <w:t xml:space="preserve">Pre-breeding Atlantic</w:t>
      </w:r>
      <w:r>
        <w:rPr>
          <w:i/>
          <w:iCs/>
        </w:rPr>
        <w:t xml:space="preserve"> </w:t>
      </w:r>
      <w:r>
        <w:rPr>
          <w:i/>
          <w:iCs/>
        </w:rPr>
        <w:t xml:space="preserve">puffins (</w:t>
      </w:r>
      <w:r>
        <w:rPr>
          <w:i/>
          <w:iCs/>
        </w:rPr>
        <w:t xml:space="preserve">Fratercula</w:t>
      </w:r>
      <w:r>
        <w:rPr>
          <w:i/>
          <w:iCs/>
        </w:rPr>
        <w:t xml:space="preserve"> </w:t>
      </w:r>
      <w:r>
        <w:rPr>
          <w:i/>
          <w:iCs/>
        </w:rPr>
        <w:t xml:space="preserve">arctica) 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v1.0.0) [Computer software]. Zenodo.</w:t>
      </w:r>
      <w:r>
        <w:t xml:space="preserve"> </w:t>
      </w:r>
      <w:hyperlink r:id="rId23">
        <w:r>
          <w:rPr>
            <w:rStyle w:val="Hyperlink"/>
          </w:rPr>
          <w:t xml:space="preserve">https://doi.org/10.5281/ZENODO.21780561</w:t>
        </w:r>
      </w:hyperlink>
    </w:p>
    <w:bookmarkEnd w:id="24"/>
    <w:bookmarkStart w:id="26"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25">
        <w:r>
          <w:rPr>
            <w:rStyle w:val="Hyperlink"/>
          </w:rPr>
          <w:t xml:space="preserve">https://doi.org/10.2307/1365062</w:t>
        </w:r>
      </w:hyperlink>
    </w:p>
    <w:bookmarkEnd w:id="26"/>
    <w:bookmarkStart w:id="28"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7">
        <w:r>
          <w:rPr>
            <w:rStyle w:val="Hyperlink"/>
          </w:rPr>
          <w:t xml:space="preserve">https://doi.org/10.2305/IUCN.UK.2018-2.RLTS.T22694927A132581443.en</w:t>
        </w:r>
      </w:hyperlink>
    </w:p>
    <w:bookmarkEnd w:id="28"/>
    <w:bookmarkStart w:id="30"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29">
        <w:r>
          <w:rPr>
            <w:rStyle w:val="Hyperlink"/>
          </w:rPr>
          <w:t xml:space="preserve">https://datazone.birdlife.org/species/factsheet/atlantic-puffin-fratercula-arctica</w:t>
        </w:r>
      </w:hyperlink>
    </w:p>
    <w:bookmarkEnd w:id="30"/>
    <w:bookmarkStart w:id="32"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31">
        <w:r>
          <w:rPr>
            <w:rStyle w:val="Hyperlink"/>
          </w:rPr>
          <w:t xml:space="preserve">https://doi.org/10.18637/jss.v080.i01</w:t>
        </w:r>
      </w:hyperlink>
    </w:p>
    <w:bookmarkEnd w:id="32"/>
    <w:bookmarkStart w:id="34"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3">
        <w:r>
          <w:rPr>
            <w:rStyle w:val="Hyperlink"/>
          </w:rPr>
          <w:t xml:space="preserve">https://doi.org/10.1002/ecs2.1283</w:t>
        </w:r>
      </w:hyperlink>
    </w:p>
    <w:bookmarkEnd w:id="34"/>
    <w:bookmarkStart w:id="36"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5">
        <w:r>
          <w:rPr>
            <w:rStyle w:val="Hyperlink"/>
          </w:rPr>
          <w:t xml:space="preserve">https://doi.org/10.1016/j.cub.2021.06.059</w:t>
        </w:r>
      </w:hyperlink>
    </w:p>
    <w:bookmarkEnd w:id="36"/>
    <w:bookmarkStart w:id="38"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7">
        <w:r>
          <w:rPr>
            <w:rStyle w:val="Hyperlink"/>
          </w:rPr>
          <w:t xml:space="preserve">https://doi.org/10.1016/j.biocon.2019.06.033</w:t>
        </w:r>
      </w:hyperlink>
    </w:p>
    <w:bookmarkEnd w:id="38"/>
    <w:bookmarkStart w:id="40"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9">
        <w:r>
          <w:rPr>
            <w:rStyle w:val="Hyperlink"/>
          </w:rPr>
          <w:t xml:space="preserve">https://doi.org/10.1111/j.0030-1299.2004.13119.x</w:t>
        </w:r>
      </w:hyperlink>
    </w:p>
    <w:bookmarkEnd w:id="40"/>
    <w:bookmarkStart w:id="42"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41">
        <w:r>
          <w:rPr>
            <w:rStyle w:val="Hyperlink"/>
          </w:rPr>
          <w:t xml:space="preserve">https://doi.org/10.1111/j.1461-0248.2004.00588.x</w:t>
        </w:r>
      </w:hyperlink>
    </w:p>
    <w:bookmarkEnd w:id="42"/>
    <w:bookmarkStart w:id="43"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43"/>
    <w:bookmarkStart w:id="45"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4">
        <w:r>
          <w:rPr>
            <w:rStyle w:val="Hyperlink"/>
          </w:rPr>
          <w:t xml:space="preserve">https://doi.org/10.1111/rssa.12378</w:t>
        </w:r>
      </w:hyperlink>
    </w:p>
    <w:bookmarkEnd w:id="45"/>
    <w:bookmarkStart w:id="47"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6">
        <w:r>
          <w:rPr>
            <w:rStyle w:val="Hyperlink"/>
          </w:rPr>
          <w:t xml:space="preserve">https://www3.stat.sinica.edu.tw/statistica/j6n4/j6n41/j6n41.htm</w:t>
        </w:r>
      </w:hyperlink>
    </w:p>
    <w:bookmarkEnd w:id="47"/>
    <w:bookmarkStart w:id="48"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8"/>
    <w:bookmarkStart w:id="50"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9">
        <w:r>
          <w:rPr>
            <w:rStyle w:val="Hyperlink"/>
          </w:rPr>
          <w:t xml:space="preserve">https://doi.org/10.1111/j.0030-1299.2005.13351.x</w:t>
        </w:r>
      </w:hyperlink>
    </w:p>
    <w:bookmarkEnd w:id="50"/>
    <w:bookmarkStart w:id="51"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1"/>
    <w:bookmarkStart w:id="52"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2"/>
    <w:bookmarkStart w:id="53"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3"/>
    <w:bookmarkStart w:id="55"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4">
        <w:r>
          <w:rPr>
            <w:rStyle w:val="Hyperlink"/>
          </w:rPr>
          <w:t xml:space="preserve">https://doi.org/10.1002/2688-8319.12390</w:t>
        </w:r>
      </w:hyperlink>
    </w:p>
    <w:bookmarkEnd w:id="55"/>
    <w:bookmarkStart w:id="57"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6">
        <w:r>
          <w:rPr>
            <w:rStyle w:val="Hyperlink"/>
          </w:rPr>
          <w:t xml:space="preserve">https://www.researchgate.net/publication/381954204_Icelandic_puffin_stock_assessments_2024</w:t>
        </w:r>
      </w:hyperlink>
    </w:p>
    <w:bookmarkEnd w:id="57"/>
    <w:bookmarkStart w:id="59"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8">
        <w:r>
          <w:rPr>
            <w:rStyle w:val="Hyperlink"/>
          </w:rPr>
          <w:t xml:space="preserve">https://doi.org/10.1111/j.1469-185X.1971.tb01048.x</w:t>
        </w:r>
      </w:hyperlink>
    </w:p>
    <w:bookmarkEnd w:id="59"/>
    <w:bookmarkStart w:id="60" w:name="Xe19625febeb906ccdb6e58cd53cb47af33dcf28"/>
    <w:p>
      <w:pPr>
        <w:pStyle w:val="Bibliography"/>
      </w:pPr>
      <w:r>
        <w:t xml:space="preserve">Løgtingslóg Um Fuglaveiðu, Sum Seinast Broytt Við Løgtingslóg Nr. 70 Frá 22. Mai 2023 (1984).</w:t>
      </w:r>
    </w:p>
    <w:bookmarkEnd w:id="60"/>
    <w:bookmarkStart w:id="62"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61">
        <w:r>
          <w:rPr>
            <w:rStyle w:val="Hyperlink"/>
          </w:rPr>
          <w:t xml:space="preserve">https://doi.org/10.2173/bow.atlpuf.01</w:t>
        </w:r>
      </w:hyperlink>
    </w:p>
    <w:bookmarkEnd w:id="62"/>
    <w:bookmarkStart w:id="64"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t xml:space="preserve">Fratercula</w:t>
      </w:r>
      <w:r>
        <w:t xml:space="preserve"> </w:t>
      </w:r>
      <w:r>
        <w:t xml:space="preserve">arctica) and</w:t>
      </w:r>
      <w:r>
        <w:t xml:space="preserve"> </w:t>
      </w:r>
      <w:r>
        <w:t xml:space="preserve">Razorbill</w:t>
      </w:r>
      <w:r>
        <w:t xml:space="preserve"> </w:t>
      </w:r>
      <w:r>
        <w:t xml:space="preserve">(</w:t>
      </w:r>
      <w:r>
        <w:t xml:space="preserve">Alca</w:t>
      </w:r>
      <w:r>
        <w:t xml:space="preserve"> </w:t>
      </w:r>
      <w:r>
        <w:t xml:space="preserve">torda)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3">
        <w:r>
          <w:rPr>
            <w:rStyle w:val="Hyperlink"/>
          </w:rPr>
          <w:t xml:space="preserve">https://doi.org/10.1525/elementa.2021.00033</w:t>
        </w:r>
      </w:hyperlink>
    </w:p>
    <w:bookmarkEnd w:id="64"/>
    <w:bookmarkStart w:id="66"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65">
        <w:r>
          <w:rPr>
            <w:rStyle w:val="Hyperlink"/>
          </w:rPr>
          <w:t xml:space="preserve">https://doi.org/10.1675/1524-4695(2003)026[0108:TROBPI]2.0.CO;2</w:t>
        </w:r>
      </w:hyperlink>
    </w:p>
    <w:bookmarkEnd w:id="66"/>
    <w:bookmarkStart w:id="68"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67">
        <w:r>
          <w:rPr>
            <w:rStyle w:val="Hyperlink"/>
          </w:rPr>
          <w:t xml:space="preserve">https://doi.org/10.1371/journal.pone.0131527</w:t>
        </w:r>
      </w:hyperlink>
    </w:p>
    <w:bookmarkEnd w:id="68"/>
    <w:bookmarkStart w:id="69"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69"/>
    <w:bookmarkStart w:id="71"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70">
        <w:r>
          <w:rPr>
            <w:rStyle w:val="Hyperlink"/>
          </w:rPr>
          <w:t xml:space="preserve">https://doi.org/10.1002/fee.70049</w:t>
        </w:r>
      </w:hyperlink>
    </w:p>
    <w:bookmarkEnd w:id="71"/>
    <w:bookmarkStart w:id="73"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72">
        <w:r>
          <w:rPr>
            <w:rStyle w:val="Hyperlink"/>
          </w:rPr>
          <w:t xml:space="preserve">https://edepot.wur.nl/40451</w:t>
        </w:r>
      </w:hyperlink>
    </w:p>
    <w:bookmarkEnd w:id="73"/>
    <w:bookmarkStart w:id="75"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74">
        <w:r>
          <w:rPr>
            <w:rStyle w:val="Hyperlink"/>
          </w:rPr>
          <w:t xml:space="preserve">https://doi.org/10.1007/s11222-016-9696-4</w:t>
        </w:r>
      </w:hyperlink>
    </w:p>
    <w:bookmarkEnd w:id="75"/>
    <w:bookmarkStart w:id="77"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76">
        <w:r>
          <w:rPr>
            <w:rStyle w:val="Hyperlink"/>
          </w:rPr>
          <w:t xml:space="preserve">https://doi.org/10.1214/20-BA1221</w:t>
        </w:r>
      </w:hyperlink>
    </w:p>
    <w:bookmarkEnd w:id="77"/>
    <w:bookmarkStart w:id="78"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78"/>
    <w:bookmarkEnd w:id="79"/>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 (</w:t>
      </w:r>
      <w:r>
        <w:rPr>
          <w:i/>
          <w:iCs/>
        </w:rPr>
        <w:t xml:space="preserve">Fratercula arctica</w:t>
      </w:r>
      <w:r>
        <w:t xml:space="preserve">) of confirmed breeding age in Føroyar. Bars show the observed percentage of breeding females per year. The solid line shows the estimate from a Bayesian generalised linear model and the shaded band shows the 95% credible interval. The estimates are marginalised over each study year’s observed brood patch composition. The vertical bars show the percentage of females of confirmed breeding age in the sample.</w:t>
      </w:r>
    </w:p>
    <w:p>
      <w:pPr>
        <w:pStyle w:val="BodyText"/>
      </w:pPr>
      <w:r>
        <w:t xml:space="preserve">Fig. 3. Temporal change in the probability of harvesting female Atlantic puffins (</w:t>
      </w:r>
      <w:r>
        <w:rPr>
          <w:i/>
          <w:iCs/>
        </w:rPr>
        <w:t xml:space="preserve">Fratercula arctica</w:t>
      </w:r>
      <w:r>
        <w:t xml:space="preserve">) of confirmed breeding age in Føroyar, with or without brood patches. The solid lines show the estimates from a Bayesian generalised linear model and the shaded band shows the 95% credible intervals.</w:t>
      </w:r>
    </w:p>
    <w:p>
      <w:pPr>
        <w:pStyle w:val="BodyText"/>
      </w:pPr>
      <w:r>
        <w:t xml:space="preserve">Fig. 4. Temporal change in brood patch presence in female Atlantic puffins (</w:t>
      </w:r>
      <w:r>
        <w:rPr>
          <w:i/>
          <w:iCs/>
        </w:rPr>
        <w:t xml:space="preserve">Fratercula arctica</w:t>
      </w:r>
      <w:r>
        <w:t xml:space="preserve">) of confirmed breeding age harvested in Føroyar.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84" w:name="fig-map"/>
          <w:p>
            <w:pPr>
              <w:pStyle w:val="Compact"/>
              <w:jc w:val="center"/>
            </w:pPr>
            <w:bookmarkStart w:id="83" w:name="fig-map"/>
            <w:r>
              <w:drawing>
                <wp:inline>
                  <wp:extent cx="5943600" cy="6028508"/>
                  <wp:effectExtent b="0" l="0" r="0" t="0"/>
                  <wp:docPr descr="" title="" id="81" name="Picture"/>
                  <a:graphic>
                    <a:graphicData uri="http://schemas.openxmlformats.org/drawingml/2006/picture">
                      <pic:pic>
                        <pic:nvPicPr>
                          <pic:cNvPr descr="manuscript_files/figure-docx/fig-map-1.png" id="82" name="Picture"/>
                          <pic:cNvPicPr>
                            <a:picLocks noChangeArrowheads="1" noChangeAspect="1"/>
                          </pic:cNvPicPr>
                        </pic:nvPicPr>
                        <pic:blipFill>
                          <a:blip r:embed="rId80"/>
                          <a:stretch>
                            <a:fillRect/>
                          </a:stretch>
                        </pic:blipFill>
                        <pic:spPr bwMode="auto">
                          <a:xfrm>
                            <a:off x="0" y="0"/>
                            <a:ext cx="5943600" cy="6028508"/>
                          </a:xfrm>
                          <a:prstGeom prst="rect">
                            <a:avLst/>
                          </a:prstGeom>
                          <a:noFill/>
                          <a:ln w="9525">
                            <a:noFill/>
                            <a:headEnd/>
                            <a:tailEnd/>
                          </a:ln>
                        </pic:spPr>
                      </pic:pic>
                    </a:graphicData>
                  </a:graphic>
                </wp:inline>
              </w:drawing>
            </w:r>
            <w:bookmarkEnd w:id="83"/>
          </w:p>
          <w:p>
            <w:pPr>
              <w:jc w:val="center"/>
            </w:pPr>
            <w:pPr>
              <w:jc w:val="left"/>
              <w:spacing w:before="200"/>
              <w:pStyle w:val="ImageCaption"/>
            </w:pPr>
            <w:r>
              <w:rPr>
                <w:b/>
                <w:bCs/>
              </w:rPr>
              <w:t xml:space="preserve">Fig.</w:t>
            </w:r>
            <w:r>
              <w:t xml:space="preserve"> 1</w:t>
            </w:r>
          </w:p>
          <w:bookmarkEnd w:id="84"/>
        </w:tc>
      </w:tr>
    </w:tbl>
    <w:p>
      <w:r>
        <w:br w:type="page"/>
      </w:r>
    </w:p>
    <w:tbl>
      <w:tblPr>
        <w:tblStyle w:val="Table"/>
        <w:tblW w:type="pct" w:w="5000"/>
        <w:tblLayout w:type="fixed"/>
        <w:tblLook w:firstRow="0" w:lastRow="0" w:firstColumn="0" w:lastColumn="0" w:noHBand="0" w:noVBand="0" w:val="0000"/>
      </w:tblPr>
      <w:tblGrid>
        <w:gridCol w:w="7920"/>
      </w:tblGrid>
      <w:tr>
        <w:tc>
          <w:tcPr/>
          <w:bookmarkStart w:id="89" w:name="fig-marg-bar"/>
          <w:p>
            <w:pPr>
              <w:pStyle w:val="Compact"/>
              <w:jc w:val="center"/>
            </w:pPr>
            <w:bookmarkStart w:id="88" w:name="fig-marg-bar"/>
            <w:r>
              <w:drawing>
                <wp:inline>
                  <wp:extent cx="5943600" cy="4245428"/>
                  <wp:effectExtent b="0" l="0" r="0" t="0"/>
                  <wp:docPr descr="" title="" id="86" name="Picture"/>
                  <a:graphic>
                    <a:graphicData uri="http://schemas.openxmlformats.org/drawingml/2006/picture">
                      <pic:pic>
                        <pic:nvPicPr>
                          <pic:cNvPr descr="manuscript_files/figure-docx/fig-marg-bar-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bookmarkEnd w:id="88"/>
          </w:p>
          <w:p>
            <w:pPr>
              <w:jc w:val="center"/>
            </w:pPr>
            <w:pPr>
              <w:jc w:val="left"/>
              <w:spacing w:before="200"/>
              <w:pStyle w:val="ImageCaption"/>
            </w:pPr>
            <w:r>
              <w:rPr>
                <w:b/>
                <w:bCs/>
              </w:rPr>
              <w:t xml:space="preserve">Fig.</w:t>
            </w:r>
            <w:r>
              <w:t xml:space="preserve"> 2</w:t>
            </w:r>
          </w:p>
          <w:bookmarkEnd w:id="89"/>
        </w:tc>
      </w:tr>
    </w:tbl>
    <w:p>
      <w:r>
        <w:br w:type="page"/>
      </w:r>
    </w:p>
    <w:tbl>
      <w:tblPr>
        <w:tblStyle w:val="Table"/>
        <w:tblW w:type="pct" w:w="5000"/>
        <w:tblLayout w:type="fixed"/>
        <w:tblLook w:firstRow="0" w:lastRow="0" w:firstColumn="0" w:lastColumn="0" w:noHBand="0" w:noVBand="0" w:val="0000"/>
      </w:tblPr>
      <w:tblGrid>
        <w:gridCol w:w="7920"/>
      </w:tblGrid>
      <w:tr>
        <w:tc>
          <w:tcPr/>
          <w:bookmarkStart w:id="94" w:name="fig-pred1"/>
          <w:p>
            <w:pPr>
              <w:pStyle w:val="Compact"/>
              <w:jc w:val="center"/>
            </w:pPr>
            <w:bookmarkStart w:id="93" w:name="fig-pred1"/>
            <w:r>
              <w:drawing>
                <wp:inline>
                  <wp:extent cx="5943600" cy="4245428"/>
                  <wp:effectExtent b="0" l="0" r="0" t="0"/>
                  <wp:docPr descr="" title="" id="91" name="Picture"/>
                  <a:graphic>
                    <a:graphicData uri="http://schemas.openxmlformats.org/drawingml/2006/picture">
                      <pic:pic>
                        <pic:nvPicPr>
                          <pic:cNvPr descr="manuscript_files/figure-docx/fig-pred1-1.png" id="92" name="Picture"/>
                          <pic:cNvPicPr>
                            <a:picLocks noChangeArrowheads="1" noChangeAspect="1"/>
                          </pic:cNvPicPr>
                        </pic:nvPicPr>
                        <pic:blipFill>
                          <a:blip r:embed="rId90"/>
                          <a:stretch>
                            <a:fillRect/>
                          </a:stretch>
                        </pic:blipFill>
                        <pic:spPr bwMode="auto">
                          <a:xfrm>
                            <a:off x="0" y="0"/>
                            <a:ext cx="5943600" cy="4245428"/>
                          </a:xfrm>
                          <a:prstGeom prst="rect">
                            <a:avLst/>
                          </a:prstGeom>
                          <a:noFill/>
                          <a:ln w="9525">
                            <a:noFill/>
                            <a:headEnd/>
                            <a:tailEnd/>
                          </a:ln>
                        </pic:spPr>
                      </pic:pic>
                    </a:graphicData>
                  </a:graphic>
                </wp:inline>
              </w:drawing>
            </w:r>
            <w:bookmarkEnd w:id="93"/>
          </w:p>
          <w:p>
            <w:pPr>
              <w:jc w:val="center"/>
            </w:pPr>
            <w:pPr>
              <w:jc w:val="left"/>
              <w:spacing w:before="200"/>
              <w:pStyle w:val="ImageCaption"/>
            </w:pPr>
            <w:r>
              <w:rPr>
                <w:b/>
                <w:bCs/>
              </w:rPr>
              <w:t xml:space="preserve">Fig.</w:t>
            </w:r>
            <w:r>
              <w:t xml:space="preserve"> 3</w:t>
            </w:r>
          </w:p>
          <w:bookmarkEnd w:id="94"/>
        </w:tc>
      </w:tr>
    </w:tbl>
    <w:p>
      <w:r>
        <w:br w:type="page"/>
      </w:r>
    </w:p>
    <w:tbl>
      <w:tblPr>
        <w:tblStyle w:val="Table"/>
        <w:tblW w:type="pct" w:w="5000"/>
        <w:tblLayout w:type="fixed"/>
        <w:tblLook w:firstRow="0" w:lastRow="0" w:firstColumn="0" w:lastColumn="0" w:noHBand="0" w:noVBand="0" w:val="0000"/>
      </w:tblPr>
      <w:tblGrid>
        <w:gridCol w:w="7920"/>
      </w:tblGrid>
      <w:tr>
        <w:tc>
          <w:tcPr/>
          <w:bookmarkStart w:id="99" w:name="fig-pred2"/>
          <w:p>
            <w:pPr>
              <w:pStyle w:val="Compact"/>
              <w:jc w:val="center"/>
            </w:pPr>
            <w:bookmarkStart w:id="98" w:name="fig-pred2"/>
            <w:r>
              <w:drawing>
                <wp:inline>
                  <wp:extent cx="5943600" cy="4245428"/>
                  <wp:effectExtent b="0" l="0" r="0" t="0"/>
                  <wp:docPr descr="" title="" id="96" name="Picture"/>
                  <a:graphic>
                    <a:graphicData uri="http://schemas.openxmlformats.org/drawingml/2006/picture">
                      <pic:pic>
                        <pic:nvPicPr>
                          <pic:cNvPr descr="manuscript_files/figure-docx/fig-pred2-1.png" id="97" name="Picture"/>
                          <pic:cNvPicPr>
                            <a:picLocks noChangeArrowheads="1" noChangeAspect="1"/>
                          </pic:cNvPicPr>
                        </pic:nvPicPr>
                        <pic:blipFill>
                          <a:blip r:embed="rId95"/>
                          <a:stretch>
                            <a:fillRect/>
                          </a:stretch>
                        </pic:blipFill>
                        <pic:spPr bwMode="auto">
                          <a:xfrm>
                            <a:off x="0" y="0"/>
                            <a:ext cx="5943600" cy="4245428"/>
                          </a:xfrm>
                          <a:prstGeom prst="rect">
                            <a:avLst/>
                          </a:prstGeom>
                          <a:noFill/>
                          <a:ln w="9525">
                            <a:noFill/>
                            <a:headEnd/>
                            <a:tailEnd/>
                          </a:ln>
                        </pic:spPr>
                      </pic:pic>
                    </a:graphicData>
                  </a:graphic>
                </wp:inline>
              </w:drawing>
            </w:r>
            <w:bookmarkEnd w:id="98"/>
          </w:p>
          <w:p>
            <w:pPr>
              <w:jc w:val="center"/>
            </w:pPr>
            <w:pPr>
              <w:jc w:val="left"/>
              <w:spacing w:before="200"/>
              <w:pStyle w:val="ImageCaption"/>
            </w:pPr>
            <w:r>
              <w:rPr>
                <w:b/>
                <w:bCs/>
              </w:rPr>
              <w:t xml:space="preserve">Fig.</w:t>
            </w:r>
            <w:r>
              <w:t xml:space="preserve"> 4</w:t>
            </w:r>
          </w:p>
          <w:bookmarkEnd w:id="99"/>
        </w:tc>
      </w:tr>
    </w:tbl>
    <w:p>
      <w:r>
        <w:br w:type="page"/>
      </w:r>
    </w:p>
    <w:tbl>
      <w:tblPr>
        <w:tblStyle w:val="Table"/>
        <w:tblW w:type="pct" w:w="5000"/>
        <w:tblLayout w:type="fixed"/>
        <w:tblLook w:firstRow="0" w:lastRow="0" w:firstColumn="0" w:lastColumn="0" w:noHBand="0" w:noVBand="0" w:val="0000"/>
      </w:tblPr>
      <w:tblGrid>
        <w:gridCol w:w="7920"/>
      </w:tblGrid>
      <w:tr>
        <w:tc>
          <w:tcPr/>
          <w:bookmarkStart w:id="100" w:name="tbl-harvest"/>
          <w:p>
            <w:pPr>
              <w:jc w:val="center"/>
            </w:pPr>
            <w:pPr>
              <w:jc w:val="left"/>
              <w:spacing w:before="200"/>
              <w:pStyle w:val="ImageCaption"/>
            </w:pPr>
            <w:r>
              <w:t xml:space="preserve">TABLE 1. Estimated annual puffin harvest and sample sizes, Nólsoy (1989–2006) and Mykines (2007–2008), Føroyar. Sample sizes are presented for the total sample size and the number of females in the sample. The percentage of females that had bred is shown as %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Year</w:t>
                  </w:r>
                </w:p>
              </w:tc>
              <w:tc>
                <w:tcPr/>
                <w:p>
                  <w:pPr>
                    <w:pStyle w:val="Compact"/>
                    <w:jc w:val="right"/>
                    <w:jc w:val="center"/>
                  </w:pPr>
                  <w:r>
                    <w:t xml:space="preserve">Estimated harvest</w:t>
                  </w:r>
                </w:p>
              </w:tc>
              <w:tc>
                <w:tcPr/>
                <w:p>
                  <w:pPr>
                    <w:pStyle w:val="Compact"/>
                    <w:jc w:val="right"/>
                    <w:jc w:val="center"/>
                  </w:pPr>
                  <w:r>
                    <w:t xml:space="preserve">Sample size</w:t>
                  </w:r>
                </w:p>
              </w:tc>
              <w:tc>
                <w:tcPr/>
                <w:p>
                  <w:pPr>
                    <w:pStyle w:val="Compact"/>
                    <w:jc w:val="right"/>
                    <w:jc w:val="center"/>
                  </w:pPr>
                  <w:r>
                    <w:t xml:space="preserve">Females</w:t>
                  </w:r>
                </w:p>
              </w:tc>
              <w:tc>
                <w:tcPr/>
                <w:p>
                  <w:pPr>
                    <w:pStyle w:val="Compact"/>
                    <w:jc w:val="left"/>
                    <w:jc w:val="center"/>
                  </w:pPr>
                  <w:r>
                    <w:t xml:space="preserve">% Bred (n)</w:t>
                  </w:r>
                </w:p>
              </w:tc>
            </w:tr>
            <w:tr>
              <w:tc>
                <w:tcPr/>
                <w:p>
                  <w:pPr>
                    <w:pStyle w:val="Compact"/>
                    <w:jc w:val="right"/>
                    <w:jc w:val="center"/>
                  </w:pPr>
                  <w:r>
                    <w:t xml:space="preserve">1989</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1990</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1991</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1992</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1993</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1994</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1995</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left"/>
                    <w:jc w:val="center"/>
                  </w:pPr>
                  <w:r>
                    <w:t xml:space="preserve">17% (31)</w:t>
                  </w:r>
                </w:p>
              </w:tc>
            </w:tr>
            <w:tr>
              <w:tc>
                <w:tcPr/>
                <w:p>
                  <w:pPr>
                    <w:pStyle w:val="Compact"/>
                    <w:jc w:val="right"/>
                    <w:jc w:val="center"/>
                  </w:pPr>
                  <w:r>
                    <w:t xml:space="preserve">1996</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left"/>
                    <w:jc w:val="center"/>
                  </w:pPr>
                  <w:r>
                    <w:t xml:space="preserve">7% (13)</w:t>
                  </w:r>
                </w:p>
              </w:tc>
            </w:tr>
            <w:tr>
              <w:tc>
                <w:tcPr/>
                <w:p>
                  <w:pPr>
                    <w:pStyle w:val="Compact"/>
                    <w:jc w:val="right"/>
                    <w:jc w:val="center"/>
                  </w:pPr>
                  <w:r>
                    <w:t xml:space="preserve">1997</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left"/>
                    <w:jc w:val="center"/>
                  </w:pPr>
                  <w:r>
                    <w:t xml:space="preserve">14% (27)</w:t>
                  </w:r>
                </w:p>
              </w:tc>
            </w:tr>
            <w:tr>
              <w:tc>
                <w:tcPr/>
                <w:p>
                  <w:pPr>
                    <w:pStyle w:val="Compact"/>
                    <w:jc w:val="right"/>
                    <w:jc w:val="center"/>
                  </w:pPr>
                  <w:r>
                    <w:t xml:space="preserve">1998</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left"/>
                    <w:jc w:val="center"/>
                  </w:pPr>
                  <w:r>
                    <w:t xml:space="preserve">18% (40)</w:t>
                  </w:r>
                </w:p>
              </w:tc>
            </w:tr>
            <w:tr>
              <w:tc>
                <w:tcPr/>
                <w:p>
                  <w:pPr>
                    <w:pStyle w:val="Compact"/>
                    <w:jc w:val="right"/>
                    <w:jc w:val="center"/>
                  </w:pPr>
                  <w:r>
                    <w:t xml:space="preserve">1999</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left"/>
                    <w:jc w:val="center"/>
                  </w:pPr>
                  <w:r>
                    <w:t xml:space="preserve">28% (53)</w:t>
                  </w:r>
                </w:p>
              </w:tc>
            </w:tr>
            <w:tr>
              <w:tc>
                <w:tcPr/>
                <w:p>
                  <w:pPr>
                    <w:pStyle w:val="Compact"/>
                    <w:jc w:val="right"/>
                    <w:jc w:val="center"/>
                  </w:pPr>
                  <w:r>
                    <w:t xml:space="preserve">2000</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left"/>
                    <w:jc w:val="center"/>
                  </w:pPr>
                  <w:r>
                    <w:t xml:space="preserve">35% (74)</w:t>
                  </w:r>
                </w:p>
              </w:tc>
            </w:tr>
            <w:tr>
              <w:tc>
                <w:tcPr/>
                <w:p>
                  <w:pPr>
                    <w:pStyle w:val="Compact"/>
                    <w:jc w:val="right"/>
                    <w:jc w:val="center"/>
                  </w:pPr>
                  <w:r>
                    <w:t xml:space="preserve">2001</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left"/>
                    <w:jc w:val="center"/>
                  </w:pPr>
                  <w:r>
                    <w:t xml:space="preserve">13% (23)</w:t>
                  </w:r>
                </w:p>
              </w:tc>
            </w:tr>
            <w:tr>
              <w:tc>
                <w:tcPr/>
                <w:p>
                  <w:pPr>
                    <w:pStyle w:val="Compact"/>
                    <w:jc w:val="right"/>
                    <w:jc w:val="center"/>
                  </w:pPr>
                  <w:r>
                    <w:t xml:space="preserve">2002</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left"/>
                    <w:jc w:val="center"/>
                  </w:pPr>
                  <w:r>
                    <w:t xml:space="preserve">13% (23)</w:t>
                  </w:r>
                </w:p>
              </w:tc>
            </w:tr>
            <w:tr>
              <w:tc>
                <w:tcPr/>
                <w:p>
                  <w:pPr>
                    <w:pStyle w:val="Compact"/>
                    <w:jc w:val="right"/>
                    <w:jc w:val="center"/>
                  </w:pPr>
                  <w:r>
                    <w:t xml:space="preserve">2003</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left"/>
                    <w:jc w:val="center"/>
                  </w:pPr>
                  <w:r>
                    <w:t xml:space="preserve">18% (18)</w:t>
                  </w:r>
                </w:p>
              </w:tc>
            </w:tr>
            <w:tr>
              <w:tc>
                <w:tcPr/>
                <w:p>
                  <w:pPr>
                    <w:pStyle w:val="Compact"/>
                    <w:jc w:val="right"/>
                    <w:jc w:val="center"/>
                  </w:pPr>
                  <w:r>
                    <w:t xml:space="preserve">2004</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left"/>
                    <w:jc w:val="center"/>
                  </w:pPr>
                  <w:r>
                    <w:t xml:space="preserve">23% (33)</w:t>
                  </w:r>
                </w:p>
              </w:tc>
            </w:tr>
            <w:tr>
              <w:tc>
                <w:tcPr/>
                <w:p>
                  <w:pPr>
                    <w:pStyle w:val="Compact"/>
                    <w:jc w:val="right"/>
                    <w:jc w:val="center"/>
                  </w:pPr>
                  <w:r>
                    <w:t xml:space="preserve">2005</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left"/>
                    <w:jc w:val="center"/>
                  </w:pPr>
                  <w:r>
                    <w:t xml:space="preserve">42% (36)</w:t>
                  </w:r>
                </w:p>
              </w:tc>
            </w:tr>
            <w:tr>
              <w:tc>
                <w:tcPr/>
                <w:p>
                  <w:pPr>
                    <w:pStyle w:val="Compact"/>
                    <w:jc w:val="right"/>
                    <w:jc w:val="center"/>
                  </w:pPr>
                  <w:r>
                    <w:t xml:space="preserve">2006</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left"/>
                    <w:jc w:val="center"/>
                  </w:pPr>
                  <w:r>
                    <w:t xml:space="preserve">66% (49)</w:t>
                  </w:r>
                </w:p>
              </w:tc>
            </w:tr>
            <w:tr>
              <w:tc>
                <w:tcPr/>
                <w:p>
                  <w:pPr>
                    <w:pStyle w:val="Compact"/>
                    <w:jc w:val="right"/>
                    <w:jc w:val="center"/>
                  </w:pPr>
                  <w:r>
                    <w:t xml:space="preserve">2007</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left"/>
                    <w:jc w:val="center"/>
                  </w:pPr>
                  <w:r>
                    <w:t xml:space="preserve">40% (2)</w:t>
                  </w:r>
                </w:p>
              </w:tc>
            </w:tr>
            <w:tr>
              <w:tc>
                <w:tcPr/>
                <w:p>
                  <w:pPr>
                    <w:pStyle w:val="Compact"/>
                    <w:jc w:val="right"/>
                    <w:jc w:val="center"/>
                  </w:pPr>
                  <w:r>
                    <w:t xml:space="preserve">2008</w:t>
                  </w:r>
                </w:p>
              </w:tc>
              <w:tc>
                <w:tcPr/>
                <w:p>
                  <w:pPr>
                    <w:pStyle w:val="Compact"/>
                    <w:jc w:val="right"/>
                    <w:jc w:val="center"/>
                  </w:pPr>
                  <w:r>
                    <w:t xml:space="preserve">335</w:t>
                  </w:r>
                </w:p>
              </w:tc>
              <w:tc>
                <w:tcPr/>
                <w:p>
                  <w:pPr>
                    <w:pStyle w:val="Compact"/>
                    <w:jc w:val="right"/>
                    <w:jc w:val="center"/>
                  </w:pPr>
                  <w:r>
                    <w:t xml:space="preserve">140</w:t>
                  </w:r>
                </w:p>
              </w:tc>
              <w:tc>
                <w:tcPr/>
                <w:p>
                  <w:pPr>
                    <w:pStyle w:val="Compact"/>
                    <w:jc w:val="right"/>
                    <w:jc w:val="center"/>
                  </w:pPr>
                  <w:r>
                    <w:t xml:space="preserve">60</w:t>
                  </w:r>
                </w:p>
              </w:tc>
              <w:tc>
                <w:tcPr/>
                <w:p>
                  <w:pPr>
                    <w:pStyle w:val="Compact"/>
                    <w:jc w:val="left"/>
                    <w:jc w:val="center"/>
                  </w:pPr>
                  <w:r>
                    <w:t xml:space="preserve">78% (47)</w:t>
                  </w:r>
                </w:p>
              </w:tc>
            </w:tr>
          </w:tbl>
          <w:bookmarkEnd w:id="10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01" w:name="tbl-odds1"/>
          <w:p>
            <w:pPr>
              <w:jc w:val="center"/>
            </w:pPr>
            <w:pPr>
              <w:jc w:val="left"/>
              <w:spacing w:before="200"/>
              <w:pStyle w:val="ImageCaption"/>
            </w:pPr>
            <w:r>
              <w:t xml:space="preserve">TABLE 2. Odds ratios for all fixed effects of the Bayesian generalised linear model testing temporal changes in the breeding status of Atlantic puffins (</w:t>
            </w:r>
            <w:r>
              <w:rPr>
                <w:i/>
                <w:iCs/>
              </w:rPr>
              <w:t xml:space="preserve">Fratercula arctica</w:t>
            </w:r>
            <w:r>
              <w:t xml:space="preserve">) harvest in Føroyar (1995-2008). The model included breeding status (0 = never bred, 1 = has bred) as response variable, and year, brood patch (0 = absent, 1 = present), and their interaction as covariates.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5.55</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24.85</w:t>
                  </w:r>
                </w:p>
              </w:tc>
              <w:tc>
                <w:tcPr/>
                <w:p>
                  <w:pPr>
                    <w:pStyle w:val="Compact"/>
                    <w:jc w:val="right"/>
                    <w:jc w:val="center"/>
                  </w:pPr>
                  <w:r>
                    <w:t xml:space="preserve">16.99</w:t>
                  </w:r>
                </w:p>
              </w:tc>
              <w:tc>
                <w:tcPr/>
                <w:p>
                  <w:pPr>
                    <w:pStyle w:val="Compact"/>
                    <w:jc w:val="right"/>
                    <w:jc w:val="center"/>
                  </w:pPr>
                  <w:r>
                    <w:t xml:space="preserve">37.13</w:t>
                  </w:r>
                </w:p>
              </w:tc>
            </w:tr>
            <w:tr>
              <w:tc>
                <w:tcPr/>
                <w:p>
                  <w:pPr>
                    <w:pStyle w:val="Compact"/>
                    <w:jc w:val="left"/>
                    <w:jc w:val="center"/>
                  </w:pPr>
                  <w:r>
                    <w:t xml:space="preserve">Year: BP</w:t>
                  </w:r>
                </w:p>
              </w:tc>
              <w:tc>
                <w:tcPr/>
                <w:p>
                  <w:pPr>
                    <w:pStyle w:val="Compact"/>
                    <w:jc w:val="right"/>
                    <w:jc w:val="center"/>
                  </w:pPr>
                  <w:r>
                    <w:t xml:space="preserve">0.46</w:t>
                  </w:r>
                </w:p>
              </w:tc>
              <w:tc>
                <w:tcPr/>
                <w:p>
                  <w:pPr>
                    <w:pStyle w:val="Compact"/>
                    <w:jc w:val="right"/>
                    <w:jc w:val="center"/>
                  </w:pPr>
                  <w:r>
                    <w:t xml:space="preserve">0.17</w:t>
                  </w:r>
                </w:p>
              </w:tc>
              <w:tc>
                <w:tcPr/>
                <w:p>
                  <w:pPr>
                    <w:pStyle w:val="Compact"/>
                    <w:jc w:val="right"/>
                    <w:jc w:val="center"/>
                  </w:pPr>
                  <w:r>
                    <w:t xml:space="preserve">1.32</w:t>
                  </w:r>
                </w:p>
              </w:tc>
            </w:tr>
          </w:tbl>
          <w:bookmarkEnd w:id="101"/>
          <w:p/>
        </w:tc>
      </w:tr>
    </w:tbl>
    <w:bookmarkEnd w:id="102"/>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hyperlink" Id="rId29" Target="https://datazone.birdlife.org/species/factsheet/atlantic-puffin-fratercula-arctica" TargetMode="External" /><Relationship Type="http://schemas.openxmlformats.org/officeDocument/2006/relationships/hyperlink" Id="rId54" Target="https://doi.org/10.1002/2688-8319.12390" TargetMode="External" /><Relationship Type="http://schemas.openxmlformats.org/officeDocument/2006/relationships/hyperlink" Id="rId33" Target="https://doi.org/10.1002/ecs2.1283" TargetMode="External" /><Relationship Type="http://schemas.openxmlformats.org/officeDocument/2006/relationships/hyperlink" Id="rId70" Target="https://doi.org/10.1002/fee.70049" TargetMode="External" /><Relationship Type="http://schemas.openxmlformats.org/officeDocument/2006/relationships/hyperlink" Id="rId21" Target="https://doi.org/10.1002/wlb3.01546" TargetMode="External" /><Relationship Type="http://schemas.openxmlformats.org/officeDocument/2006/relationships/hyperlink" Id="rId74" Target="https://doi.org/10.1007/s11222-016-9696-4" TargetMode="External" /><Relationship Type="http://schemas.openxmlformats.org/officeDocument/2006/relationships/hyperlink" Id="rId37" Target="https://doi.org/10.1016/j.biocon.2019.06.033" TargetMode="External" /><Relationship Type="http://schemas.openxmlformats.org/officeDocument/2006/relationships/hyperlink" Id="rId35" Target="https://doi.org/10.1016/j.cub.2021.06.059" TargetMode="External" /><Relationship Type="http://schemas.openxmlformats.org/officeDocument/2006/relationships/hyperlink" Id="rId39" Target="https://doi.org/10.1111/j.0030-1299.2004.13119.x" TargetMode="External" /><Relationship Type="http://schemas.openxmlformats.org/officeDocument/2006/relationships/hyperlink" Id="rId49" Target="https://doi.org/10.1111/j.0030-1299.2005.13351.x" TargetMode="External" /><Relationship Type="http://schemas.openxmlformats.org/officeDocument/2006/relationships/hyperlink" Id="rId41" Target="https://doi.org/10.1111/j.1461-0248.2004.00588.x" TargetMode="External" /><Relationship Type="http://schemas.openxmlformats.org/officeDocument/2006/relationships/hyperlink" Id="rId58" Target="https://doi.org/10.1111/j.1469-185X.1971.tb01048.x" TargetMode="External" /><Relationship Type="http://schemas.openxmlformats.org/officeDocument/2006/relationships/hyperlink" Id="rId44" Target="https://doi.org/10.1111/rssa.12378" TargetMode="External" /><Relationship Type="http://schemas.openxmlformats.org/officeDocument/2006/relationships/hyperlink" Id="rId76" Target="https://doi.org/10.1214/20-BA1221" TargetMode="External" /><Relationship Type="http://schemas.openxmlformats.org/officeDocument/2006/relationships/hyperlink" Id="rId67" Target="https://doi.org/10.1371/journal.pone.0131527" TargetMode="External" /><Relationship Type="http://schemas.openxmlformats.org/officeDocument/2006/relationships/hyperlink" Id="rId63" Target="https://doi.org/10.1525/elementa.2021.00033" TargetMode="External" /><Relationship Type="http://schemas.openxmlformats.org/officeDocument/2006/relationships/hyperlink" Id="rId65" Target="https://doi.org/10.1675/1524-4695(2003)026[0108:TROBPI]2.0.CO;2" TargetMode="External" /><Relationship Type="http://schemas.openxmlformats.org/officeDocument/2006/relationships/hyperlink" Id="rId31" Target="https://doi.org/10.18637/jss.v080.i01" TargetMode="External" /><Relationship Type="http://schemas.openxmlformats.org/officeDocument/2006/relationships/hyperlink" Id="rId61" Target="https://doi.org/10.2173/bow.atlpuf.01" TargetMode="External" /><Relationship Type="http://schemas.openxmlformats.org/officeDocument/2006/relationships/hyperlink" Id="rId27" Target="https://doi.org/10.2305/IUCN.UK.2018-2.RLTS.T22694927A132581443.en" TargetMode="External" /><Relationship Type="http://schemas.openxmlformats.org/officeDocument/2006/relationships/hyperlink" Id="rId25" Target="https://doi.org/10.2307/1365062" TargetMode="External" /><Relationship Type="http://schemas.openxmlformats.org/officeDocument/2006/relationships/hyperlink" Id="rId19" Target="https://doi.org/10.2307/3676349" TargetMode="External" /><Relationship Type="http://schemas.openxmlformats.org/officeDocument/2006/relationships/hyperlink" Id="rId23" Target="https://doi.org/10.5281/ZENODO.21780561" TargetMode="External" /><Relationship Type="http://schemas.openxmlformats.org/officeDocument/2006/relationships/hyperlink" Id="rId17" Target="https://doi.org/10.5281/zenodo.21780561" TargetMode="External" /><Relationship Type="http://schemas.openxmlformats.org/officeDocument/2006/relationships/hyperlink" Id="rId72" Target="https://edepot.wur.nl/40451" TargetMode="External" /><Relationship Type="http://schemas.openxmlformats.org/officeDocument/2006/relationships/hyperlink" Id="rId16" Target="https://github.com/AnneAus/puffin_female_harvest" TargetMode="External" /><Relationship Type="http://schemas.openxmlformats.org/officeDocument/2006/relationships/hyperlink" Id="rId56" Target="https://www.researchgate.net/publication/381954204_Icelandic_puffin_stock_assessments_2024" TargetMode="External" /><Relationship Type="http://schemas.openxmlformats.org/officeDocument/2006/relationships/hyperlink" Id="rId46"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9" Target="https://datazone.birdlife.org/species/factsheet/atlantic-puffin-fratercula-arctica" TargetMode="External" /><Relationship Type="http://schemas.openxmlformats.org/officeDocument/2006/relationships/hyperlink" Id="rId54" Target="https://doi.org/10.1002/2688-8319.12390" TargetMode="External" /><Relationship Type="http://schemas.openxmlformats.org/officeDocument/2006/relationships/hyperlink" Id="rId33" Target="https://doi.org/10.1002/ecs2.1283" TargetMode="External" /><Relationship Type="http://schemas.openxmlformats.org/officeDocument/2006/relationships/hyperlink" Id="rId70" Target="https://doi.org/10.1002/fee.70049" TargetMode="External" /><Relationship Type="http://schemas.openxmlformats.org/officeDocument/2006/relationships/hyperlink" Id="rId21" Target="https://doi.org/10.1002/wlb3.01546" TargetMode="External" /><Relationship Type="http://schemas.openxmlformats.org/officeDocument/2006/relationships/hyperlink" Id="rId74" Target="https://doi.org/10.1007/s11222-016-9696-4" TargetMode="External" /><Relationship Type="http://schemas.openxmlformats.org/officeDocument/2006/relationships/hyperlink" Id="rId37" Target="https://doi.org/10.1016/j.biocon.2019.06.033" TargetMode="External" /><Relationship Type="http://schemas.openxmlformats.org/officeDocument/2006/relationships/hyperlink" Id="rId35" Target="https://doi.org/10.1016/j.cub.2021.06.059" TargetMode="External" /><Relationship Type="http://schemas.openxmlformats.org/officeDocument/2006/relationships/hyperlink" Id="rId39" Target="https://doi.org/10.1111/j.0030-1299.2004.13119.x" TargetMode="External" /><Relationship Type="http://schemas.openxmlformats.org/officeDocument/2006/relationships/hyperlink" Id="rId49" Target="https://doi.org/10.1111/j.0030-1299.2005.13351.x" TargetMode="External" /><Relationship Type="http://schemas.openxmlformats.org/officeDocument/2006/relationships/hyperlink" Id="rId41" Target="https://doi.org/10.1111/j.1461-0248.2004.00588.x" TargetMode="External" /><Relationship Type="http://schemas.openxmlformats.org/officeDocument/2006/relationships/hyperlink" Id="rId58" Target="https://doi.org/10.1111/j.1469-185X.1971.tb01048.x" TargetMode="External" /><Relationship Type="http://schemas.openxmlformats.org/officeDocument/2006/relationships/hyperlink" Id="rId44" Target="https://doi.org/10.1111/rssa.12378" TargetMode="External" /><Relationship Type="http://schemas.openxmlformats.org/officeDocument/2006/relationships/hyperlink" Id="rId76" Target="https://doi.org/10.1214/20-BA1221" TargetMode="External" /><Relationship Type="http://schemas.openxmlformats.org/officeDocument/2006/relationships/hyperlink" Id="rId67" Target="https://doi.org/10.1371/journal.pone.0131527" TargetMode="External" /><Relationship Type="http://schemas.openxmlformats.org/officeDocument/2006/relationships/hyperlink" Id="rId63" Target="https://doi.org/10.1525/elementa.2021.00033" TargetMode="External" /><Relationship Type="http://schemas.openxmlformats.org/officeDocument/2006/relationships/hyperlink" Id="rId65" Target="https://doi.org/10.1675/1524-4695(2003)026[0108:TROBPI]2.0.CO;2" TargetMode="External" /><Relationship Type="http://schemas.openxmlformats.org/officeDocument/2006/relationships/hyperlink" Id="rId31" Target="https://doi.org/10.18637/jss.v080.i01" TargetMode="External" /><Relationship Type="http://schemas.openxmlformats.org/officeDocument/2006/relationships/hyperlink" Id="rId61" Target="https://doi.org/10.2173/bow.atlpuf.01" TargetMode="External" /><Relationship Type="http://schemas.openxmlformats.org/officeDocument/2006/relationships/hyperlink" Id="rId27" Target="https://doi.org/10.2305/IUCN.UK.2018-2.RLTS.T22694927A132581443.en" TargetMode="External" /><Relationship Type="http://schemas.openxmlformats.org/officeDocument/2006/relationships/hyperlink" Id="rId25" Target="https://doi.org/10.2307/1365062" TargetMode="External" /><Relationship Type="http://schemas.openxmlformats.org/officeDocument/2006/relationships/hyperlink" Id="rId19" Target="https://doi.org/10.2307/3676349" TargetMode="External" /><Relationship Type="http://schemas.openxmlformats.org/officeDocument/2006/relationships/hyperlink" Id="rId23" Target="https://doi.org/10.5281/ZENODO.21780561" TargetMode="External" /><Relationship Type="http://schemas.openxmlformats.org/officeDocument/2006/relationships/hyperlink" Id="rId17" Target="https://doi.org/10.5281/zenodo.21780561" TargetMode="External" /><Relationship Type="http://schemas.openxmlformats.org/officeDocument/2006/relationships/hyperlink" Id="rId72" Target="https://edepot.wur.nl/40451" TargetMode="External" /><Relationship Type="http://schemas.openxmlformats.org/officeDocument/2006/relationships/hyperlink" Id="rId16" Target="https://github.com/AnneAus/puffin_female_harvest" TargetMode="External" /><Relationship Type="http://schemas.openxmlformats.org/officeDocument/2006/relationships/hyperlink" Id="rId56" Target="https://www.researchgate.net/publication/381954204_Icelandic_puffin_stock_assessments_2024" TargetMode="External" /><Relationship Type="http://schemas.openxmlformats.org/officeDocument/2006/relationships/hyperlink" Id="rId46"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2026-08-03T21:08:23Z</dcterms:created>
  <dcterms:modified xsi:type="dcterms:W3CDTF">2026-08-03T21:08:23Z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