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w:t>
      </w:r>
    </w:p>
    <w:p>
      <w:pPr>
        <w:pStyle w:val="Author"/>
      </w:pPr>
      <w:r>
        <w:t xml:space="preserve">ANNE N.M.A. AUSEMS</w:t>
      </w:r>
      <w:r>
        <w:rPr>
          <w:vertAlign w:val="superscript"/>
        </w:rPr>
        <w:t xml:space="preserve">1</w:t>
      </w:r>
      <w:r>
        <w:t xml:space="preserve">, JENS-KJELD JENSEN</w:t>
      </w:r>
      <w:r>
        <w:rPr>
          <w:vertAlign w:val="superscript"/>
        </w:rPr>
        <w:t xml:space="preserve">2</w:t>
      </w:r>
    </w:p>
    <w:p>
      <w:pPr>
        <w:pStyle w:val="Address"/>
      </w:pPr>
      <w:r>
        <w:rPr>
          <w:vertAlign w:val="superscript"/>
        </w:rPr>
        <w:t xml:space="preserve">1</w:t>
      </w:r>
      <w:r>
        <w:t xml:space="preserve">Department of Ecoscience, Aarhus University, Denmark. (anneausems@ecos.au.dk)</w:t>
      </w:r>
      <w:r>
        <w:br/>
      </w:r>
      <w:r>
        <w:rPr>
          <w:vertAlign w:val="superscript"/>
        </w:rPr>
        <w:t xml:space="preserve">2</w:t>
      </w:r>
      <w:r>
        <w:t xml:space="preserve">Nólsoy, Faroe Islands</w:t>
      </w:r>
    </w:p>
    <w:bookmarkStart w:id="9" w:name="abstract"/>
    <w:p>
      <w:pPr>
        <w:pStyle w:val="Heading1"/>
      </w:pPr>
      <w:r>
        <w:t xml:space="preserve">ABSTRACT</w:t>
      </w:r>
    </w:p>
    <w:p>
      <w:pPr>
        <w:pStyle w:val="FirstParagraph"/>
      </w:pPr>
      <w:r>
        <w:rPr>
          <w:b/>
          <w:bCs/>
        </w:rPr>
        <w:t xml:space="preserve">Key words:</w:t>
      </w:r>
    </w:p>
    <w:bookmarkEnd w:id="9"/>
    <w:bookmarkStart w:id="10" w:name="introduction"/>
    <w:p>
      <w:pPr>
        <w:pStyle w:val="Heading1"/>
      </w:pPr>
      <w:r>
        <w:t xml:space="preserve">INTRODUCTION</w:t>
      </w:r>
    </w:p>
    <w:p>
      <w:pPr>
        <w:pStyle w:val="FirstParagraph"/>
      </w:pPr>
      <w:r>
        <w:t xml:space="preserve">Global climate change and increasing human-induced environmental change are causing large-scale declines in many seabird species</w:t>
      </w:r>
      <w:r>
        <w:t xml:space="preserve"> </w:t>
      </w:r>
      <w:r>
        <w:t xml:space="preserve">(Dias et al., 2019)</w:t>
      </w:r>
      <w:r>
        <w:t xml:space="preserve">. Some threats have indirect effects, for example, climate change may cause a decline in food availability leading to lower breeding success, and eventually observable population declines</w:t>
      </w:r>
      <w:r>
        <w:t xml:space="preserve"> </w:t>
      </w:r>
      <w:r>
        <w:t xml:space="preserve">(Fayet et al., 2021)</w:t>
      </w:r>
      <w:r>
        <w:t xml:space="preserve">, while others directly cause mortality, such as bycatch and hunting. In long-lived species such as seabirds, changes in adult survival can have strong effects on population dynamics</w:t>
      </w:r>
      <w:r>
        <w:t xml:space="preserve"> </w:t>
      </w:r>
      <w:r>
        <w:t xml:space="preserve">(Doherty et al., 2004; Jenouvrier et al., 2005)</w:t>
      </w:r>
      <w:r>
        <w:t xml:space="preserve">, so even minor threats directly affecting it can have large impacts, especially on already vulnerable species. In contrast, the elasticity of the population growth rate to breeding success and recruitment rate is relatively low, but they can react strongly to changes in environmental conditions</w:t>
      </w:r>
      <w:r>
        <w:t xml:space="preserve"> </w:t>
      </w:r>
      <w:r>
        <w:t xml:space="preserve">(Jenouvrier et al., 2005)</w:t>
      </w:r>
      <w:r>
        <w:t xml:space="preserve">, thus ultimately having the strongest effect on population growth rate overall</w:t>
      </w:r>
      <w:r>
        <w:t xml:space="preserve"> </w:t>
      </w:r>
      <w:r>
        <w:t xml:space="preserve">(Miles et al., 2015)</w:t>
      </w:r>
      <w:r>
        <w:t xml:space="preserve">.</w:t>
      </w:r>
    </w:p>
    <w:p>
      <w:pPr>
        <w:pStyle w:val="BodyText"/>
      </w:pPr>
      <w:r>
        <w:t xml:space="preserve">Atlantic puffins (</w:t>
      </w:r>
      <w:r>
        <w:rPr>
          <w:i/>
          <w:iCs/>
        </w:rPr>
        <w:t xml:space="preserve">Fratecula arctica</w:t>
      </w:r>
      <w:r>
        <w:t xml:space="preserve">; hereafter</w:t>
      </w:r>
      <w:r>
        <w:t xml:space="preserve"> </w:t>
      </w:r>
      <w:r>
        <w:t xml:space="preserve">‘puffin’</w:t>
      </w:r>
      <w:r>
        <w:t xml:space="preserve">) are rapidly declining across most of their European range</w:t>
      </w:r>
      <w:r>
        <w:t xml:space="preserve"> </w:t>
      </w:r>
      <w:r>
        <w:t xml:space="preserve">(BirdLife International, 2021)</w:t>
      </w:r>
      <w:r>
        <w:t xml:space="preserve">, and they are classified as ‘Vulnerable’ globally and ‘Endangered’ in Europe</w:t>
      </w:r>
      <w:r>
        <w:t xml:space="preserve"> </w:t>
      </w:r>
      <w:r>
        <w:t xml:space="preserve">(BirdLife International, 2018)</w:t>
      </w:r>
      <w:r>
        <w:t xml:space="preserve">. Puffin population declines are largely linked to changes in food availability causing declines in breeding success</w:t>
      </w:r>
      <w:r>
        <w:t xml:space="preserve"> </w:t>
      </w:r>
      <w:r>
        <w:t xml:space="preserve">(Fayet et al., 2021)</w:t>
      </w:r>
      <w:r>
        <w:t xml:space="preserve"> </w:t>
      </w:r>
      <w:r>
        <w:t xml:space="preserve">and thus recruitment rate leading to increases in the age of the population</w:t>
      </w:r>
      <w:r>
        <w:t xml:space="preserve"> </w:t>
      </w:r>
      <w:r>
        <w:t xml:space="preserve">(Ausems et al., 2026)</w:t>
      </w:r>
      <w:r>
        <w:t xml:space="preserve">. Generally, puffins start breeding when they are between 4 and 5 years, though occasionally they can start at 3 years old and often the first breeding attempt is at a later age</w:t>
      </w:r>
      <w:r>
        <w:t xml:space="preserve"> </w:t>
      </w:r>
      <w:r>
        <w:t xml:space="preserve">(Lowther et al., 2020)</w:t>
      </w:r>
      <w:r>
        <w:t xml:space="preserve">. Annual survival of both immatures and adults is high</w:t>
      </w:r>
      <w:r>
        <w:t xml:space="preserve"> </w:t>
      </w:r>
      <w:r>
        <w:t xml:space="preserve">(Sandvik et al., 2008)</w:t>
      </w:r>
      <w:r>
        <w:t xml:space="preserve">, though immature survival may vary between sites and years (see</w:t>
      </w:r>
      <w:r>
        <w:t xml:space="preserve"> </w:t>
      </w:r>
      <w:r>
        <w:t xml:space="preserve">Ashcroft (1979)</w:t>
      </w:r>
      <w:r>
        <w:t xml:space="preserve">), and immatures are highly philopatric</w:t>
      </w:r>
      <w:r>
        <w:t xml:space="preserve"> </w:t>
      </w:r>
      <w:r>
        <w:t xml:space="preserve">(Sandvik et al., 2008)</w:t>
      </w:r>
      <w:r>
        <w:t xml:space="preserve">.</w:t>
      </w:r>
    </w:p>
    <w:p>
      <w:pPr>
        <w:pStyle w:val="BodyText"/>
      </w:pPr>
      <w:r>
        <w:t xml:space="preserve">In Føroyar (Eng. Faroe Islands;</w:t>
      </w:r>
      <w:r>
        <w:t xml:space="preserve"> </w:t>
      </w:r>
      <w:hyperlink w:anchor="fig-map">
        <w:r>
          <w:rPr>
            <w:rStyle w:val="Hyperlink"/>
          </w:rPr>
          <w:t xml:space="preserve">Fig. 1</w:t>
        </w:r>
      </w:hyperlink>
      <w:r>
        <w:t xml:space="preserve">), harvesting puffins is a long-stranding, culturally important tradition, where hunters catch flying puffins from set locations on land using a special made net. Puffins are a widespread species in the islands, with an estimated 550,000 breeding pairs in approximately 100 colonies</w:t>
      </w:r>
      <w:r>
        <w:t xml:space="preserve"> </w:t>
      </w:r>
      <w:r>
        <w:t xml:space="preserve">Hammer et al. (2014)</w:t>
      </w:r>
      <w:r>
        <w:t xml:space="preserve">. However, as in other areas, their population shows observed, but unquantified, declines in Føroyar. Overharvesting has long been understood to negatively affect the local population</w:t>
      </w:r>
      <w:r>
        <w:t xml:space="preserve"> </w:t>
      </w:r>
      <w:r>
        <w:t xml:space="preserve">(Jensen &amp; Olsen, 2020)</w:t>
      </w:r>
      <w:r>
        <w:t xml:space="preserve">, and, on Nólsoy (</w:t>
      </w:r>
      <w:hyperlink w:anchor="fig-map">
        <w:r>
          <w:rPr>
            <w:rStyle w:val="Hyperlink"/>
          </w:rPr>
          <w:t xml:space="preserve">Fig. 1</w:t>
        </w:r>
      </w:hyperlink>
      <w:r>
        <w:t xml:space="preserve">), the harvest was voluntarily halted in 2009 until the population was deemed stable enough in 2021 to sustain limited harvesting</w:t>
      </w:r>
      <w:r>
        <w:t xml:space="preserve"> </w:t>
      </w:r>
      <w:r>
        <w:t xml:space="preserve">(Ausems et al., 2026)</w:t>
      </w:r>
      <w:r>
        <w:t xml:space="preserve">.</w:t>
      </w:r>
    </w:p>
    <w:p>
      <w:pPr>
        <w:pStyle w:val="BodyText"/>
      </w:pPr>
      <w:r>
        <w:t xml:space="preserve">Puffin hunters, or fowlers, follow a set of rules, intended to ensure only young, prospecting birds are caught and catching breeding adults is avoided</w:t>
      </w:r>
      <w:r>
        <w:t xml:space="preserve"> </w:t>
      </w:r>
      <w:r>
        <w:t xml:space="preserve">(Jensen, 2010)</w:t>
      </w:r>
      <w:r>
        <w:t xml:space="preserve">. Firstly, puffin harvesting is restricted to the chick-rearing period as this makes it easier to distinguish breeding adults and prospecting juveniles</w:t>
      </w:r>
      <w:r>
        <w:t xml:space="preserve"> </w:t>
      </w:r>
      <w:r>
        <w:t xml:space="preserve">(Jensen, 2010)</w:t>
      </w:r>
      <w:r>
        <w:t xml:space="preserve">. During the breeding season, puffins take part in</w:t>
      </w:r>
      <w:r>
        <w:t xml:space="preserve"> </w:t>
      </w:r>
      <w:r>
        <w:t xml:space="preserve">‘wheeling-flight’</w:t>
      </w:r>
      <w:r>
        <w:t xml:space="preserve">, where large groups of birds fly in circles or figure-8’s over the colony and surrounding water</w:t>
      </w:r>
      <w:r>
        <w:t xml:space="preserve"> </w:t>
      </w:r>
      <w:r>
        <w:t xml:space="preserve">(Lowther et al., 2020)</w:t>
      </w:r>
      <w:r>
        <w:t xml:space="preserve">. It is assumed that only prospecting birds take part in this behaviour, while breeding adults will either be identifiable by them carrying fish to their nest or directly heading back to sea to collect more food for the chick</w:t>
      </w:r>
      <w:r>
        <w:t xml:space="preserve"> </w:t>
      </w:r>
      <w:r>
        <w:t xml:space="preserve">(Jensen, 2010)</w:t>
      </w:r>
      <w:r>
        <w:t xml:space="preserve">. In addition, if a bird with wet bill and cheeks is caught, it is released again, as that is a sign of a bird having just delivered fish to its young.</w:t>
      </w:r>
    </w:p>
    <w:p>
      <w:pPr>
        <w:pStyle w:val="BodyText"/>
      </w:pPr>
      <w:r>
        <w:t xml:space="preserve">However, ongoing global climate change and anthropogenic impacts have altered puffin breeding phenology and propensity. In northern latitudes, puffins are breeding later</w:t>
      </w:r>
      <w:r>
        <w:t xml:space="preserve"> </w:t>
      </w:r>
      <w:r>
        <w:t xml:space="preserve">(Burr et al., 2016)</w:t>
      </w:r>
      <w:r>
        <w:t xml:space="preserve"> </w:t>
      </w:r>
      <w:r>
        <w:t xml:space="preserve">in response to environmental conditions</w:t>
      </w:r>
      <w:r>
        <w:t xml:space="preserve"> </w:t>
      </w:r>
      <w:r>
        <w:t xml:space="preserve">(Durant et al., 2004)</w:t>
      </w:r>
      <w:r>
        <w:t xml:space="preserve">. Furthermore, birds are forced to forage further offshore to find sufficient food, leading to increases in breeding failures</w:t>
      </w:r>
      <w:r>
        <w:t xml:space="preserve"> </w:t>
      </w:r>
      <w:r>
        <w:t xml:space="preserve">(Fayet et al., 2021)</w:t>
      </w:r>
      <w:r>
        <w:t xml:space="preserve">. Together, these changes may affect the efficacy of the self-imposed rules; non-incubating partners and failed breeders may take part in the</w:t>
      </w:r>
      <w:r>
        <w:t xml:space="preserve"> </w:t>
      </w:r>
      <w:r>
        <w:t xml:space="preserve">‘wheeling-flight’</w:t>
      </w:r>
      <w:r>
        <w:t xml:space="preserve"> </w:t>
      </w:r>
      <w:r>
        <w:t xml:space="preserve">behaviour without showing the tell-tale signs of being of breeding age.</w:t>
      </w:r>
    </w:p>
    <w:p>
      <w:pPr>
        <w:pStyle w:val="BodyText"/>
      </w:pPr>
      <w:r>
        <w:t xml:space="preserve">Using a 20-year dataset on legally harvested puffins</w:t>
      </w:r>
      <w:r>
        <w:t xml:space="preserve"> </w:t>
      </w:r>
      <w:r>
        <w:t xml:space="preserve">(Løgtingslóg Um Fuglaveiðu, Sum Seinast Broytt Við Løgtingslóg Nr. 70 Frá 22. Mai 2023, 1984)</w:t>
      </w:r>
      <w:r>
        <w:t xml:space="preserve">, we tested whether adults of breeding age were harvested. We hypothesise that, as the overall age of the population is increasing and the proportion of young (i.e., &lt;4 calendar years) is declining</w:t>
      </w:r>
      <w:r>
        <w:t xml:space="preserve"> </w:t>
      </w:r>
      <w:r>
        <w:t xml:space="preserve">(Ausems et al., 2026)</w:t>
      </w:r>
      <w:r>
        <w:t xml:space="preserve">, the ratio of adults of breeding age increased over the study period. Secondly, we tested whether breeding propensity changed over time by assessing brood patch presence in the sample. Brood patch formation is induced by hormones before the breeding season</w:t>
      </w:r>
      <w:r>
        <w:t xml:space="preserve"> </w:t>
      </w:r>
      <w:r>
        <w:t xml:space="preserve">(Jones, 1971)</w:t>
      </w:r>
      <w:r>
        <w:t xml:space="preserve"> </w:t>
      </w:r>
      <w:r>
        <w:t xml:space="preserve">but it quickly disappears when a bird is not incubating an egg</w:t>
      </w:r>
      <w:r>
        <w:t xml:space="preserve"> </w:t>
      </w:r>
      <w:r>
        <w:t xml:space="preserve">(Bailey, 1952)</w:t>
      </w:r>
      <w:r>
        <w:t xml:space="preserve">. While the presence of a brood patch can be a misleading sign of breeding status</w:t>
      </w:r>
      <w:r>
        <w:t xml:space="preserve"> </w:t>
      </w:r>
      <w:r>
        <w:t xml:space="preserve">(McFarlane Tranquilla et al., 2003)</w:t>
      </w:r>
      <w:r>
        <w:t xml:space="preserve">, we assumed that, at the time of the puffin hunt, prospecting and failed breeders would have refeathered their brood patch while actively incubating birds still retained theirs. We predicted that birds of breeding age would be less likely to have a brood patch later in the study period, indicating increased breeding failures or an increase in birds foregoing breeding.</w:t>
      </w:r>
    </w:p>
    <w:bookmarkEnd w:id="10"/>
    <w:bookmarkStart w:id="15" w:name="methods"/>
    <w:p>
      <w:pPr>
        <w:pStyle w:val="Heading1"/>
      </w:pPr>
      <w:r>
        <w:t xml:space="preserve">Methods</w:t>
      </w:r>
    </w:p>
    <w:tbl>
      <w:tblPr>
        <w:tblStyle w:val="Table"/>
        <w:tblW w:type="pct" w:w="5000"/>
        <w:tblLayout w:type="fixed"/>
        <w:tblLook w:firstRow="0" w:lastRow="0" w:firstColumn="0" w:lastColumn="0" w:noHBand="0" w:noVBand="0" w:val="0000"/>
      </w:tblPr>
      <w:tblGrid>
        <w:gridCol w:w="7920"/>
      </w:tblGrid>
      <w:tr>
        <w:tc>
          <w:tcPr/>
          <w:bookmarkStart w:id="14" w:name="fig-map"/>
          <w:p>
            <w:pPr>
              <w:pStyle w:val="Compact"/>
              <w:jc w:val="center"/>
            </w:pPr>
            <w:r>
              <w:drawing>
                <wp:inline>
                  <wp:extent cx="5943600" cy="6028508"/>
                  <wp:effectExtent b="0" l="0" r="0" t="0"/>
                  <wp:docPr descr="" title="" id="12" name="Picture"/>
                  <a:graphic>
                    <a:graphicData uri="http://schemas.openxmlformats.org/drawingml/2006/picture">
                      <pic:pic>
                        <pic:nvPicPr>
                          <pic:cNvPr descr="manuscript_files/figure-docx/fig-map-1.png" id="13" name="Picture"/>
                          <pic:cNvPicPr>
                            <a:picLocks noChangeArrowheads="1" noChangeAspect="1"/>
                          </pic:cNvPicPr>
                        </pic:nvPicPr>
                        <pic:blipFill>
                          <a:blip r:embed="rId11"/>
                          <a:stretch>
                            <a:fillRect/>
                          </a:stretch>
                        </pic:blipFill>
                        <pic:spPr bwMode="auto">
                          <a:xfrm>
                            <a:off x="0" y="0"/>
                            <a:ext cx="5943600" cy="6028508"/>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w:t>
            </w:r>
            <w:r>
              <w:t xml:space="preserve"> 1. Location of the study sites (red dots).</w:t>
            </w:r>
          </w:p>
          <w:bookmarkEnd w:id="14"/>
        </w:tc>
      </w:tr>
    </w:tbl>
    <w:bookmarkEnd w:id="15"/>
    <w:bookmarkStart w:id="52" w:name="references"/>
    <w:p>
      <w:pPr>
        <w:pStyle w:val="Heading1"/>
      </w:pPr>
      <w:r>
        <w:t xml:space="preserve">REFERENCES</w:t>
      </w:r>
    </w:p>
    <w:bookmarkStart w:id="51" w:name="refs"/>
    <w:bookmarkStart w:id="17" w:name="ref-ashcroftSurvivalRatesBreeding1979"/>
    <w:p>
      <w:pPr>
        <w:pStyle w:val="Bibliography"/>
      </w:pPr>
      <w:r>
        <w:t xml:space="preserve">Ashcroft, R. E. (1979). Survival</w:t>
      </w:r>
      <w:r>
        <w:t xml:space="preserve"> </w:t>
      </w:r>
      <w:r>
        <w:t xml:space="preserve">Rates</w:t>
      </w:r>
      <w:r>
        <w:t xml:space="preserve"> </w:t>
      </w:r>
      <w:r>
        <w:t xml:space="preserve">and</w:t>
      </w:r>
      <w:r>
        <w:t xml:space="preserve"> </w:t>
      </w:r>
      <w:r>
        <w:t xml:space="preserve">Breeding Biology</w:t>
      </w:r>
      <w:r>
        <w:t xml:space="preserve"> </w:t>
      </w:r>
      <w:r>
        <w:t xml:space="preserve">of</w:t>
      </w:r>
      <w:r>
        <w:t xml:space="preserve"> </w:t>
      </w:r>
      <w:r>
        <w:t xml:space="preserve">Puffins</w:t>
      </w:r>
      <w:r>
        <w:t xml:space="preserve"> </w:t>
      </w:r>
      <w:r>
        <w:t xml:space="preserve">on</w:t>
      </w:r>
      <w:r>
        <w:t xml:space="preserve"> </w:t>
      </w:r>
      <w:r>
        <w:t xml:space="preserve">Skomer Island</w:t>
      </w:r>
      <w:r>
        <w:t xml:space="preserve">,</w:t>
      </w:r>
      <w:r>
        <w:t xml:space="preserve"> </w:t>
      </w:r>
      <w:r>
        <w:t xml:space="preserve">Wales</w:t>
      </w:r>
      <w:r>
        <w:t xml:space="preserve">.</w:t>
      </w:r>
      <w:r>
        <w:t xml:space="preserve"> </w:t>
      </w:r>
      <w:r>
        <w:rPr>
          <w:i/>
          <w:iCs/>
        </w:rPr>
        <w:t xml:space="preserve">Ornis Scandinavica</w:t>
      </w:r>
      <w:r>
        <w:t xml:space="preserve">,</w:t>
      </w:r>
      <w:r>
        <w:t xml:space="preserve"> </w:t>
      </w:r>
      <w:r>
        <w:rPr>
          <w:i/>
          <w:iCs/>
        </w:rPr>
        <w:t xml:space="preserve">10</w:t>
      </w:r>
      <w:r>
        <w:t xml:space="preserve">(1), 100.</w:t>
      </w:r>
      <w:r>
        <w:t xml:space="preserve"> </w:t>
      </w:r>
      <w:hyperlink r:id="rId16">
        <w:r>
          <w:rPr>
            <w:rStyle w:val="Hyperlink"/>
          </w:rPr>
          <w:t xml:space="preserve">https://doi.org/10.2307/3676349</w:t>
        </w:r>
      </w:hyperlink>
    </w:p>
    <w:bookmarkEnd w:id="17"/>
    <w:bookmarkStart w:id="19" w:name="ref-ausemsVariationFoodAvailability2026"/>
    <w:p>
      <w:pPr>
        <w:pStyle w:val="Bibliography"/>
      </w:pPr>
      <w:r>
        <w:t xml:space="preserve">Ausems, A. N. M. A., Jakubas, D., Jensen, J., &amp; Wojczulanis–Jakubas, K. (2026). Variation in food availability affects the population age structure of</w:t>
      </w:r>
      <w:r>
        <w:t xml:space="preserve"> </w:t>
      </w:r>
      <w:r>
        <w:t xml:space="preserve">Atlantic</w:t>
      </w:r>
      <w:r>
        <w:t xml:space="preserve"> </w:t>
      </w:r>
      <w:r>
        <w:t xml:space="preserve">puffins</w:t>
      </w:r>
      <w:r>
        <w:t xml:space="preserve"> </w:t>
      </w:r>
      <w:r>
        <w:rPr>
          <w:i/>
          <w:iCs/>
        </w:rPr>
        <w:t xml:space="preserve">Fratercula</w:t>
      </w:r>
      <w:r>
        <w:rPr>
          <w:i/>
          <w:iCs/>
        </w:rPr>
        <w:t xml:space="preserve"> </w:t>
      </w:r>
      <w:r>
        <w:rPr>
          <w:i/>
          <w:iCs/>
        </w:rPr>
        <w:t xml:space="preserve">Arctica</w:t>
      </w:r>
      <w:r>
        <w:t xml:space="preserve"> </w:t>
      </w:r>
      <w:r>
        <w:t xml:space="preserve">in the</w:t>
      </w:r>
      <w:r>
        <w:t xml:space="preserve"> </w:t>
      </w:r>
      <w:r>
        <w:t xml:space="preserve">Faroe Islands</w:t>
      </w:r>
      <w:r>
        <w:t xml:space="preserve">.</w:t>
      </w:r>
      <w:r>
        <w:t xml:space="preserve"> </w:t>
      </w:r>
      <w:r>
        <w:rPr>
          <w:i/>
          <w:iCs/>
        </w:rPr>
        <w:t xml:space="preserve">Wildlife Biology</w:t>
      </w:r>
      <w:r>
        <w:t xml:space="preserve">, e01546.</w:t>
      </w:r>
      <w:r>
        <w:t xml:space="preserve"> </w:t>
      </w:r>
      <w:hyperlink r:id="rId18">
        <w:r>
          <w:rPr>
            <w:rStyle w:val="Hyperlink"/>
          </w:rPr>
          <w:t xml:space="preserve">https://doi.org/10.1002/wlb3.01546</w:t>
        </w:r>
      </w:hyperlink>
    </w:p>
    <w:bookmarkEnd w:id="19"/>
    <w:bookmarkStart w:id="21" w:name="ref-baileyIncubationPatchPasserine1952"/>
    <w:p>
      <w:pPr>
        <w:pStyle w:val="Bibliography"/>
      </w:pPr>
      <w:r>
        <w:t xml:space="preserve">Bailey, R. E. (1952). The</w:t>
      </w:r>
      <w:r>
        <w:t xml:space="preserve"> </w:t>
      </w:r>
      <w:r>
        <w:t xml:space="preserve">Incubation Patch</w:t>
      </w:r>
      <w:r>
        <w:t xml:space="preserve"> </w:t>
      </w:r>
      <w:r>
        <w:t xml:space="preserve">of</w:t>
      </w:r>
      <w:r>
        <w:t xml:space="preserve"> </w:t>
      </w:r>
      <w:r>
        <w:t xml:space="preserve">Passerine Birds</w:t>
      </w:r>
      <w:r>
        <w:t xml:space="preserve">.</w:t>
      </w:r>
      <w:r>
        <w:t xml:space="preserve"> </w:t>
      </w:r>
      <w:r>
        <w:rPr>
          <w:i/>
          <w:iCs/>
        </w:rPr>
        <w:t xml:space="preserve">The Condor</w:t>
      </w:r>
      <w:r>
        <w:t xml:space="preserve">,</w:t>
      </w:r>
      <w:r>
        <w:t xml:space="preserve"> </w:t>
      </w:r>
      <w:r>
        <w:rPr>
          <w:i/>
          <w:iCs/>
        </w:rPr>
        <w:t xml:space="preserve">54</w:t>
      </w:r>
      <w:r>
        <w:t xml:space="preserve">(3), 121–136.</w:t>
      </w:r>
      <w:r>
        <w:t xml:space="preserve"> </w:t>
      </w:r>
      <w:hyperlink r:id="rId20">
        <w:r>
          <w:rPr>
            <w:rStyle w:val="Hyperlink"/>
          </w:rPr>
          <w:t xml:space="preserve">https://doi.org/10.2307/1365062</w:t>
        </w:r>
      </w:hyperlink>
    </w:p>
    <w:bookmarkEnd w:id="21"/>
    <w:bookmarkStart w:id="23" w:name="X6fe9fda70bed21ba65d61585bcf1d825af477bf"/>
    <w:p>
      <w:pPr>
        <w:pStyle w:val="Bibliography"/>
      </w:pPr>
      <w:r>
        <w:t xml:space="preserve">BirdLife International. (2018).</w:t>
      </w:r>
      <w:r>
        <w:t xml:space="preserve"> </w:t>
      </w:r>
      <w:r>
        <w:rPr>
          <w:i/>
          <w:i/>
          <w:iCs/>
          <w:iCs/>
        </w:rPr>
        <w:t xml:space="preserve">Fratercula Arctica</w:t>
      </w:r>
      <w:r>
        <w:rPr>
          <w:i/>
          <w:iCs/>
        </w:rPr>
        <w:t xml:space="preserve">.</w:t>
      </w:r>
      <w:r>
        <w:rPr>
          <w:i/>
          <w:iCs/>
        </w:rPr>
        <w:t xml:space="preserve"> </w:t>
      </w:r>
      <w:r>
        <w:rPr>
          <w:i/>
          <w:iCs/>
        </w:rPr>
        <w:t xml:space="preserve">The IUCN Red List</w:t>
      </w:r>
      <w:r>
        <w:rPr>
          <w:i/>
          <w:iCs/>
        </w:rPr>
        <w:t xml:space="preserve"> </w:t>
      </w:r>
      <w:r>
        <w:rPr>
          <w:i/>
          <w:iCs/>
        </w:rPr>
        <w:t xml:space="preserve">of threatened species. E.</w:t>
      </w:r>
      <w:r>
        <w:rPr>
          <w:i/>
          <w:iCs/>
        </w:rPr>
        <w:t xml:space="preserve">T22694927A132581443</w:t>
      </w:r>
      <w:r>
        <w:t xml:space="preserve">.</w:t>
      </w:r>
      <w:r>
        <w:t xml:space="preserve"> </w:t>
      </w:r>
      <w:hyperlink r:id="rId22">
        <w:r>
          <w:rPr>
            <w:rStyle w:val="Hyperlink"/>
          </w:rPr>
          <w:t xml:space="preserve">https://doi.org/10.2305/IUCN.UK.2018-2.RLTS.T22694927A132581443.en</w:t>
        </w:r>
      </w:hyperlink>
    </w:p>
    <w:bookmarkEnd w:id="23"/>
    <w:bookmarkStart w:id="25" w:name="X2251d75557b56d22c3e2c47990efce73593f512"/>
    <w:p>
      <w:pPr>
        <w:pStyle w:val="Bibliography"/>
      </w:pPr>
      <w:r>
        <w:t xml:space="preserve">BirdLife International. (2021).</w:t>
      </w:r>
      <w:r>
        <w:t xml:space="preserve"> </w:t>
      </w:r>
      <w:r>
        <w:rPr>
          <w:i/>
          <w:iCs/>
        </w:rPr>
        <w:t xml:space="preserve">Species factsheet:</w:t>
      </w:r>
      <w:r>
        <w:rPr>
          <w:i/>
          <w:iCs/>
        </w:rPr>
        <w:t xml:space="preserve"> </w:t>
      </w:r>
      <w:r>
        <w:rPr>
          <w:i/>
          <w:i/>
          <w:iCs/>
          <w:iCs/>
        </w:rPr>
        <w:t xml:space="preserve">Fratercula</w:t>
      </w:r>
      <w:r>
        <w:rPr>
          <w:i/>
          <w:i/>
          <w:iCs/>
          <w:iCs/>
        </w:rPr>
        <w:t xml:space="preserve"> </w:t>
      </w:r>
      <w:r>
        <w:rPr>
          <w:i/>
          <w:i/>
          <w:iCs/>
          <w:iCs/>
        </w:rPr>
        <w:t xml:space="preserve">Arctica</w:t>
      </w:r>
      <w:r>
        <w:t xml:space="preserve">.</w:t>
      </w:r>
      <w:r>
        <w:t xml:space="preserve"> </w:t>
      </w:r>
      <w:hyperlink r:id="rId24">
        <w:r>
          <w:rPr>
            <w:rStyle w:val="Hyperlink"/>
          </w:rPr>
          <w:t xml:space="preserve">https://datazone.birdlife.org/species/factsheet/atlantic-puffin-fratercula-arctica</w:t>
        </w:r>
      </w:hyperlink>
    </w:p>
    <w:bookmarkEnd w:id="25"/>
    <w:bookmarkStart w:id="27" w:name="ref-burrLaterHigherLatitudes2016"/>
    <w:p>
      <w:pPr>
        <w:pStyle w:val="Bibliography"/>
      </w:pPr>
      <w:r>
        <w:t xml:space="preserve">Burr, Z. M., Varpe, Ø., Anker‐Nilssen, T., Erikstad, K. E., Descamps, S., Barrett, R. T., Bech, C., Christensen‐Dalsgaard, S., Lorentsen, S., Moe, B., Reiertsen, T. K., &amp; Strøm, H. (2016). Later at higher latitudes: Large‐scale variability in seabird breeding timing and synchronicity.</w:t>
      </w:r>
      <w:r>
        <w:t xml:space="preserve"> </w:t>
      </w:r>
      <w:r>
        <w:rPr>
          <w:i/>
          <w:iCs/>
        </w:rPr>
        <w:t xml:space="preserve">Ecosphere</w:t>
      </w:r>
      <w:r>
        <w:t xml:space="preserve">,</w:t>
      </w:r>
      <w:r>
        <w:t xml:space="preserve"> </w:t>
      </w:r>
      <w:r>
        <w:rPr>
          <w:i/>
          <w:iCs/>
        </w:rPr>
        <w:t xml:space="preserve">7</w:t>
      </w:r>
      <w:r>
        <w:t xml:space="preserve">(5), e01283.</w:t>
      </w:r>
      <w:r>
        <w:t xml:space="preserve"> </w:t>
      </w:r>
      <w:hyperlink r:id="rId26">
        <w:r>
          <w:rPr>
            <w:rStyle w:val="Hyperlink"/>
          </w:rPr>
          <w:t xml:space="preserve">https://doi.org/10.1002/ecs2.1283</w:t>
        </w:r>
      </w:hyperlink>
    </w:p>
    <w:bookmarkEnd w:id="27"/>
    <w:bookmarkStart w:id="29" w:name="ref-diasThreatsSeabirdsGlobal2019"/>
    <w:p>
      <w:pPr>
        <w:pStyle w:val="Bibliography"/>
      </w:pPr>
      <w:r>
        <w:t xml:space="preserve">Dias, M. P., Martin, R., Pearmain, E. J., Burfield, I. J., Small, C., Phillips, R. A., Yates, O., Lascelles, B., Borboroglu, P. G., &amp; Croxall, J. P. (2019). Threats to seabirds:</w:t>
      </w:r>
      <w:r>
        <w:t xml:space="preserve"> </w:t>
      </w:r>
      <w:r>
        <w:t xml:space="preserve">A</w:t>
      </w:r>
      <w:r>
        <w:t xml:space="preserve"> </w:t>
      </w:r>
      <w:r>
        <w:t xml:space="preserve">global assessment.</w:t>
      </w:r>
      <w:r>
        <w:t xml:space="preserve"> </w:t>
      </w:r>
      <w:r>
        <w:rPr>
          <w:i/>
          <w:iCs/>
        </w:rPr>
        <w:t xml:space="preserve">Biological Conservation</w:t>
      </w:r>
      <w:r>
        <w:t xml:space="preserve">,</w:t>
      </w:r>
      <w:r>
        <w:t xml:space="preserve"> </w:t>
      </w:r>
      <w:r>
        <w:rPr>
          <w:i/>
          <w:iCs/>
        </w:rPr>
        <w:t xml:space="preserve">237</w:t>
      </w:r>
      <w:r>
        <w:t xml:space="preserve">, 525–537.</w:t>
      </w:r>
      <w:r>
        <w:t xml:space="preserve"> </w:t>
      </w:r>
      <w:hyperlink r:id="rId28">
        <w:r>
          <w:rPr>
            <w:rStyle w:val="Hyperlink"/>
          </w:rPr>
          <w:t xml:space="preserve">https://doi.org/10.1016/j.biocon.2019.06.033</w:t>
        </w:r>
      </w:hyperlink>
    </w:p>
    <w:bookmarkEnd w:id="29"/>
    <w:bookmarkStart w:id="31" w:name="ref-dohertyTestingLifeHistory2004"/>
    <w:p>
      <w:pPr>
        <w:pStyle w:val="Bibliography"/>
      </w:pPr>
      <w:r>
        <w:t xml:space="preserve">Doherty, P. F., Jr., Schreiber, E. A., Nichols, J. D., Hines, J. E., Link, W. A., Schenk, G. A., &amp; Schreiber, R. W. (2004). Testing life history predictions in a long-lived seabird: A population matrix approach with improved parameter estimation.</w:t>
      </w:r>
      <w:r>
        <w:t xml:space="preserve"> </w:t>
      </w:r>
      <w:r>
        <w:rPr>
          <w:i/>
          <w:iCs/>
        </w:rPr>
        <w:t xml:space="preserve">Oikos</w:t>
      </w:r>
      <w:r>
        <w:t xml:space="preserve">,</w:t>
      </w:r>
      <w:r>
        <w:t xml:space="preserve"> </w:t>
      </w:r>
      <w:r>
        <w:rPr>
          <w:i/>
          <w:iCs/>
        </w:rPr>
        <w:t xml:space="preserve">105</w:t>
      </w:r>
      <w:r>
        <w:t xml:space="preserve">(3), 606–618.</w:t>
      </w:r>
      <w:r>
        <w:t xml:space="preserve"> </w:t>
      </w:r>
      <w:hyperlink r:id="rId30">
        <w:r>
          <w:rPr>
            <w:rStyle w:val="Hyperlink"/>
          </w:rPr>
          <w:t xml:space="preserve">https://doi.org/10.1111/j.0030-1299.2004.13119.x</w:t>
        </w:r>
      </w:hyperlink>
    </w:p>
    <w:bookmarkEnd w:id="31"/>
    <w:bookmarkStart w:id="33" w:name="ref-durantRegimeShiftsBreeding2004"/>
    <w:p>
      <w:pPr>
        <w:pStyle w:val="Bibliography"/>
      </w:pPr>
      <w:r>
        <w:t xml:space="preserve">Durant, J. M., Anker-Nilssen, T., Hjermann, D. Ø., &amp; Stenseth, N. Chr. (2004). Regime shifts in the breeding of an</w:t>
      </w:r>
      <w:r>
        <w:t xml:space="preserve"> </w:t>
      </w:r>
      <w:r>
        <w:t xml:space="preserve">Atlantic</w:t>
      </w:r>
      <w:r>
        <w:t xml:space="preserve"> </w:t>
      </w:r>
      <w:r>
        <w:t xml:space="preserve">puffin population.</w:t>
      </w:r>
      <w:r>
        <w:t xml:space="preserve"> </w:t>
      </w:r>
      <w:r>
        <w:rPr>
          <w:i/>
          <w:iCs/>
        </w:rPr>
        <w:t xml:space="preserve">Ecology Letters</w:t>
      </w:r>
      <w:r>
        <w:t xml:space="preserve">,</w:t>
      </w:r>
      <w:r>
        <w:t xml:space="preserve"> </w:t>
      </w:r>
      <w:r>
        <w:rPr>
          <w:i/>
          <w:iCs/>
        </w:rPr>
        <w:t xml:space="preserve">7</w:t>
      </w:r>
      <w:r>
        <w:t xml:space="preserve">(5), 388–394.</w:t>
      </w:r>
      <w:r>
        <w:t xml:space="preserve"> </w:t>
      </w:r>
      <w:hyperlink r:id="rId32">
        <w:r>
          <w:rPr>
            <w:rStyle w:val="Hyperlink"/>
          </w:rPr>
          <w:t xml:space="preserve">https://doi.org/10.1111/j.1461-0248.2004.00588.x</w:t>
        </w:r>
      </w:hyperlink>
    </w:p>
    <w:bookmarkEnd w:id="33"/>
    <w:bookmarkStart w:id="34" w:name="ref-fayetLocalPreyShortages2021"/>
    <w:p>
      <w:pPr>
        <w:pStyle w:val="Bibliography"/>
      </w:pPr>
      <w:r>
        <w:t xml:space="preserve">Fayet, A. L., Clucas, G. V., Anker-Nilssen, T., Syposz, M., &amp; Hansen, E. S. (2021). Local prey shortages drive foraging costs and breeding success in a declining seabird, the</w:t>
      </w:r>
      <w:r>
        <w:t xml:space="preserve"> </w:t>
      </w:r>
      <w:r>
        <w:t xml:space="preserve">Atlantic</w:t>
      </w:r>
      <w:r>
        <w:t xml:space="preserve"> </w:t>
      </w:r>
      <w:r>
        <w:t xml:space="preserve">puffin.</w:t>
      </w:r>
      <w:r>
        <w:t xml:space="preserve"> </w:t>
      </w:r>
      <w:r>
        <w:rPr>
          <w:i/>
          <w:iCs/>
        </w:rPr>
        <w:t xml:space="preserve">Journal of Animal Ecology</w:t>
      </w:r>
      <w:r>
        <w:t xml:space="preserve">,</w:t>
      </w:r>
      <w:r>
        <w:t xml:space="preserve"> </w:t>
      </w:r>
      <w:r>
        <w:rPr>
          <w:i/>
          <w:iCs/>
        </w:rPr>
        <w:t xml:space="preserve">90</w:t>
      </w:r>
      <w:r>
        <w:t xml:space="preserve">, 1152–1164.</w:t>
      </w:r>
    </w:p>
    <w:bookmarkEnd w:id="34"/>
    <w:bookmarkStart w:id="35" w:name="Xd2c1001e50c6a03f5980b48bf021065e127b4b3"/>
    <w:p>
      <w:pPr>
        <w:pStyle w:val="Bibliography"/>
      </w:pPr>
      <w:r>
        <w:t xml:space="preserve">Hammer, S., Madsen, J., Jensen, J.-K., Pedersen, K., &amp; Bloch, D. (2014).</w:t>
      </w:r>
      <w:r>
        <w:t xml:space="preserve"> </w:t>
      </w:r>
      <w:r>
        <w:rPr>
          <w:i/>
          <w:iCs/>
        </w:rPr>
        <w:t xml:space="preserve">Færøsk</w:t>
      </w:r>
      <w:r>
        <w:rPr>
          <w:i/>
          <w:iCs/>
        </w:rPr>
        <w:t xml:space="preserve"> </w:t>
      </w:r>
      <w:r>
        <w:rPr>
          <w:i/>
          <w:iCs/>
        </w:rPr>
        <w:t xml:space="preserve">Trækfugleatlas</w:t>
      </w:r>
      <w:r>
        <w:rPr>
          <w:i/>
          <w:iCs/>
        </w:rPr>
        <w:t xml:space="preserve"> </w:t>
      </w:r>
      <w:r>
        <w:rPr>
          <w:i/>
          <w:iCs/>
        </w:rPr>
        <w:t xml:space="preserve">– the</w:t>
      </w:r>
      <w:r>
        <w:rPr>
          <w:i/>
          <w:iCs/>
        </w:rPr>
        <w:t xml:space="preserve"> </w:t>
      </w:r>
      <w:r>
        <w:rPr>
          <w:i/>
          <w:iCs/>
        </w:rPr>
        <w:t xml:space="preserve">Faroese</w:t>
      </w:r>
      <w:r>
        <w:rPr>
          <w:i/>
          <w:iCs/>
        </w:rPr>
        <w:t xml:space="preserve"> </w:t>
      </w:r>
      <w:r>
        <w:rPr>
          <w:i/>
          <w:iCs/>
        </w:rPr>
        <w:t xml:space="preserve">bird migration atlas</w:t>
      </w:r>
      <w:r>
        <w:t xml:space="preserve"> </w:t>
      </w:r>
      <w:r>
        <w:t xml:space="preserve">(p. 177). Fróðskapur, Faroe University Press.</w:t>
      </w:r>
    </w:p>
    <w:bookmarkEnd w:id="35"/>
    <w:bookmarkStart w:id="37" w:name="X686eab3f81361263a84b2098b98864d463c743b"/>
    <w:p>
      <w:pPr>
        <w:pStyle w:val="Bibliography"/>
      </w:pPr>
      <w:r>
        <w:t xml:space="preserve">Jenouvrier, S., Barbraud, C., Cazelles, B., &amp; Weimerskirch, H. (2005). Modelling population dynamics of seabirds: Importance of the effects of climate fluctuations on breeding proportions.</w:t>
      </w:r>
      <w:r>
        <w:t xml:space="preserve"> </w:t>
      </w:r>
      <w:r>
        <w:rPr>
          <w:i/>
          <w:iCs/>
        </w:rPr>
        <w:t xml:space="preserve">Oikos</w:t>
      </w:r>
      <w:r>
        <w:t xml:space="preserve">,</w:t>
      </w:r>
      <w:r>
        <w:t xml:space="preserve"> </w:t>
      </w:r>
      <w:r>
        <w:rPr>
          <w:i/>
          <w:iCs/>
        </w:rPr>
        <w:t xml:space="preserve">108</w:t>
      </w:r>
      <w:r>
        <w:t xml:space="preserve">(3), 511–522.</w:t>
      </w:r>
      <w:r>
        <w:t xml:space="preserve"> </w:t>
      </w:r>
      <w:hyperlink r:id="rId36">
        <w:r>
          <w:rPr>
            <w:rStyle w:val="Hyperlink"/>
          </w:rPr>
          <w:t xml:space="preserve">https://doi.org/10.1111/j.0030-1299.2005.13351.x</w:t>
        </w:r>
      </w:hyperlink>
    </w:p>
    <w:bookmarkEnd w:id="37"/>
    <w:bookmarkStart w:id="38" w:name="ref-jensenPuffinFowlingaFowling2010"/>
    <w:p>
      <w:pPr>
        <w:pStyle w:val="Bibliography"/>
      </w:pPr>
      <w:r>
        <w:t xml:space="preserve">Jensen, J.-K. (2010).</w:t>
      </w:r>
      <w:r>
        <w:t xml:space="preserve"> </w:t>
      </w:r>
      <w:r>
        <w:rPr>
          <w:i/>
          <w:iCs/>
        </w:rPr>
        <w:t xml:space="preserve">Puffin fowling-a fowling day on</w:t>
      </w:r>
      <w:r>
        <w:rPr>
          <w:i/>
          <w:iCs/>
        </w:rPr>
        <w:t xml:space="preserve"> </w:t>
      </w:r>
      <w:r>
        <w:rPr>
          <w:i/>
          <w:iCs/>
        </w:rPr>
        <w:t xml:space="preserve">Nólsoy</w:t>
      </w:r>
      <w:r>
        <w:rPr>
          <w:i/>
          <w:iCs/>
        </w:rPr>
        <w:t xml:space="preserve">,</w:t>
      </w:r>
      <w:r>
        <w:rPr>
          <w:i/>
          <w:iCs/>
        </w:rPr>
        <w:t xml:space="preserve"> </w:t>
      </w:r>
      <w:r>
        <w:rPr>
          <w:i/>
          <w:iCs/>
        </w:rPr>
        <w:t xml:space="preserve">Faroe Islands</w:t>
      </w:r>
      <w:r>
        <w:t xml:space="preserve">. Føroya Skúlabókagrunnur.</w:t>
      </w:r>
    </w:p>
    <w:bookmarkEnd w:id="38"/>
    <w:bookmarkStart w:id="39" w:name="ref-jensenListBirdsSeen2005"/>
    <w:p>
      <w:pPr>
        <w:pStyle w:val="Bibliography"/>
      </w:pPr>
      <w:r>
        <w:t xml:space="preserve">Jensen, J.-K., Bloch, D., &amp; Olsen, B. (2005). List of birds seen in the</w:t>
      </w:r>
      <w:r>
        <w:t xml:space="preserve"> </w:t>
      </w:r>
      <w:r>
        <w:t xml:space="preserve">Faroe Islands</w:t>
      </w:r>
      <w:r>
        <w:t xml:space="preserve">. In</w:t>
      </w:r>
      <w:r>
        <w:t xml:space="preserve"> </w:t>
      </w:r>
      <w:r>
        <w:rPr>
          <w:i/>
          <w:iCs/>
        </w:rPr>
        <w:t xml:space="preserve">Føroya fuglafrøḥifelag and</w:t>
      </w:r>
      <w:r>
        <w:rPr>
          <w:i/>
          <w:iCs/>
        </w:rPr>
        <w:t xml:space="preserve"> </w:t>
      </w:r>
      <w:r>
        <w:rPr>
          <w:i/>
          <w:iCs/>
        </w:rPr>
        <w:t xml:space="preserve">Føroya</w:t>
      </w:r>
      <w:r>
        <w:rPr>
          <w:i/>
          <w:iCs/>
        </w:rPr>
        <w:t xml:space="preserve"> </w:t>
      </w:r>
      <w:r>
        <w:rPr>
          <w:i/>
          <w:iCs/>
        </w:rPr>
        <w:t xml:space="preserve">skúlabókagrunnur</w:t>
      </w:r>
      <w:r>
        <w:t xml:space="preserve">. Føroya Náttúrugripasavn, Tórshavn, Faroe Islands.</w:t>
      </w:r>
    </w:p>
    <w:bookmarkEnd w:id="39"/>
    <w:bookmarkStart w:id="40" w:name="ref-jensenTraditionsPuffinFowling2020"/>
    <w:p>
      <w:pPr>
        <w:pStyle w:val="Bibliography"/>
      </w:pPr>
      <w:r>
        <w:t xml:space="preserve">Jensen, J.-K., &amp; Olsen, B. (2020). Traditions for puffin fowling in the</w:t>
      </w:r>
      <w:r>
        <w:t xml:space="preserve"> </w:t>
      </w:r>
      <w:r>
        <w:t xml:space="preserve">Faroe Islands</w:t>
      </w:r>
      <w:r>
        <w:t xml:space="preserve"> </w:t>
      </w:r>
      <w:r>
        <w:t xml:space="preserve">the last decades.</w:t>
      </w:r>
      <w:r>
        <w:t xml:space="preserve"> </w:t>
      </w:r>
      <w:r>
        <w:rPr>
          <w:i/>
          <w:iCs/>
        </w:rPr>
        <w:t xml:space="preserve">Journal of Nature Faroe Islands</w:t>
      </w:r>
      <w:r>
        <w:t xml:space="preserve">,</w:t>
      </w:r>
      <w:r>
        <w:t xml:space="preserve"> </w:t>
      </w:r>
      <w:r>
        <w:rPr>
          <w:i/>
          <w:iCs/>
        </w:rPr>
        <w:t xml:space="preserve">1</w:t>
      </w:r>
      <w:r>
        <w:t xml:space="preserve">, 3–17.</w:t>
      </w:r>
    </w:p>
    <w:bookmarkEnd w:id="40"/>
    <w:bookmarkStart w:id="42" w:name="ref-jonesIncubationPatchBirds1971"/>
    <w:p>
      <w:pPr>
        <w:pStyle w:val="Bibliography"/>
      </w:pPr>
      <w:r>
        <w:t xml:space="preserve">Jones, R. E. (1971). The</w:t>
      </w:r>
      <w:r>
        <w:t xml:space="preserve"> </w:t>
      </w:r>
      <w:r>
        <w:t xml:space="preserve">Incubation Patch</w:t>
      </w:r>
      <w:r>
        <w:t xml:space="preserve"> </w:t>
      </w:r>
      <w:r>
        <w:t xml:space="preserve">of</w:t>
      </w:r>
      <w:r>
        <w:t xml:space="preserve"> </w:t>
      </w:r>
      <w:r>
        <w:t xml:space="preserve">Birds</w:t>
      </w:r>
      <w:r>
        <w:t xml:space="preserve">.</w:t>
      </w:r>
      <w:r>
        <w:t xml:space="preserve"> </w:t>
      </w:r>
      <w:r>
        <w:rPr>
          <w:i/>
          <w:iCs/>
        </w:rPr>
        <w:t xml:space="preserve">Biological Reviews</w:t>
      </w:r>
      <w:r>
        <w:t xml:space="preserve">,</w:t>
      </w:r>
      <w:r>
        <w:t xml:space="preserve"> </w:t>
      </w:r>
      <w:r>
        <w:rPr>
          <w:i/>
          <w:iCs/>
        </w:rPr>
        <w:t xml:space="preserve">46</w:t>
      </w:r>
      <w:r>
        <w:t xml:space="preserve">(3), 315–339.</w:t>
      </w:r>
      <w:r>
        <w:t xml:space="preserve"> </w:t>
      </w:r>
      <w:hyperlink r:id="rId41">
        <w:r>
          <w:rPr>
            <w:rStyle w:val="Hyperlink"/>
          </w:rPr>
          <w:t xml:space="preserve">https://doi.org/10.1111/j.1469-185X.1971.tb01048.x</w:t>
        </w:r>
      </w:hyperlink>
    </w:p>
    <w:bookmarkEnd w:id="42"/>
    <w:bookmarkStart w:id="43" w:name="Xe19625febeb906ccdb6e58cd53cb47af33dcf28"/>
    <w:p>
      <w:pPr>
        <w:pStyle w:val="Bibliography"/>
      </w:pPr>
      <w:r>
        <w:t xml:space="preserve">Løgtingslóg Um Fuglaveiðu, Sum Seinast Broytt Við Løgtingslóg Nr. 70 Frá 22. Mai 2023 (1984).</w:t>
      </w:r>
    </w:p>
    <w:bookmarkEnd w:id="43"/>
    <w:bookmarkStart w:id="45" w:name="ref-lowtherAtlanticPuffinFratercula2020"/>
    <w:p>
      <w:pPr>
        <w:pStyle w:val="Bibliography"/>
      </w:pPr>
      <w:r>
        <w:t xml:space="preserve">Lowther, P. E., Diamond, A. W., Kress, S. W., Robertson, G. J., Russell, K., Nettleship, D. N., Kirwan, G. M., Christie, D. A., Sharpe, C. J., Garcia, E. F. J., &amp; Boesman, P. F. D. (2020). Atlantic puffin (</w:t>
      </w:r>
      <w:r>
        <w:t xml:space="preserve">Fratercula</w:t>
      </w:r>
      <w:r>
        <w:t xml:space="preserve"> </w:t>
      </w:r>
      <w:r>
        <w:t xml:space="preserve">arctica), ver. 1.0. In S. M. Billerman (Ed.),</w:t>
      </w:r>
      <w:r>
        <w:t xml:space="preserve"> </w:t>
      </w:r>
      <w:r>
        <w:rPr>
          <w:i/>
          <w:iCs/>
        </w:rPr>
        <w:t xml:space="preserve">Birds of the world</w:t>
      </w:r>
      <w:r>
        <w:t xml:space="preserve">. Cornell Laboratory of Ornithology.</w:t>
      </w:r>
      <w:r>
        <w:t xml:space="preserve"> </w:t>
      </w:r>
      <w:hyperlink r:id="rId44">
        <w:r>
          <w:rPr>
            <w:rStyle w:val="Hyperlink"/>
          </w:rPr>
          <w:t xml:space="preserve">https://doi.org/10.2173/bow.atlpuf.01</w:t>
        </w:r>
      </w:hyperlink>
    </w:p>
    <w:bookmarkEnd w:id="45"/>
    <w:bookmarkStart w:id="47" w:name="X958f21470482a6a06ce614515743210bd9f3c46"/>
    <w:p>
      <w:pPr>
        <w:pStyle w:val="Bibliography"/>
      </w:pPr>
      <w:r>
        <w:t xml:space="preserve">McFarlane Tranquilla, L. A., Bradley, R. W., Lank, D. B., Williams, T. D., Lougheed, L. W., &amp; Cooke, F. (2003). The</w:t>
      </w:r>
      <w:r>
        <w:t xml:space="preserve"> </w:t>
      </w:r>
      <w:r>
        <w:t xml:space="preserve">Reliability</w:t>
      </w:r>
      <w:r>
        <w:t xml:space="preserve"> </w:t>
      </w:r>
      <w:r>
        <w:t xml:space="preserve">of</w:t>
      </w:r>
      <w:r>
        <w:t xml:space="preserve"> </w:t>
      </w:r>
      <w:r>
        <w:t xml:space="preserve">Brood Patches</w:t>
      </w:r>
      <w:r>
        <w:t xml:space="preserve"> </w:t>
      </w:r>
      <w:r>
        <w:t xml:space="preserve">in</w:t>
      </w:r>
      <w:r>
        <w:t xml:space="preserve"> </w:t>
      </w:r>
      <w:r>
        <w:t xml:space="preserve">Assessing Reproductive Status</w:t>
      </w:r>
      <w:r>
        <w:t xml:space="preserve"> </w:t>
      </w:r>
      <w:r>
        <w:t xml:space="preserve">in the</w:t>
      </w:r>
      <w:r>
        <w:t xml:space="preserve"> </w:t>
      </w:r>
      <w:r>
        <w:t xml:space="preserve">Marbled Murrelet</w:t>
      </w:r>
      <w:r>
        <w:t xml:space="preserve">:</w:t>
      </w:r>
      <w:r>
        <w:t xml:space="preserve"> </w:t>
      </w:r>
      <w:r>
        <w:t xml:space="preserve">Words</w:t>
      </w:r>
      <w:r>
        <w:t xml:space="preserve"> </w:t>
      </w:r>
      <w:r>
        <w:t xml:space="preserve">of</w:t>
      </w:r>
      <w:r>
        <w:t xml:space="preserve"> </w:t>
      </w:r>
      <w:r>
        <w:t xml:space="preserve">Caution</w:t>
      </w:r>
      <w:r>
        <w:t xml:space="preserve">.</w:t>
      </w:r>
      <w:r>
        <w:t xml:space="preserve"> </w:t>
      </w:r>
      <w:r>
        <w:rPr>
          <w:i/>
          <w:iCs/>
        </w:rPr>
        <w:t xml:space="preserve">Waterbirds</w:t>
      </w:r>
      <w:r>
        <w:t xml:space="preserve">,</w:t>
      </w:r>
      <w:r>
        <w:t xml:space="preserve"> </w:t>
      </w:r>
      <w:r>
        <w:rPr>
          <w:i/>
          <w:iCs/>
        </w:rPr>
        <w:t xml:space="preserve">26</w:t>
      </w:r>
      <w:r>
        <w:t xml:space="preserve">(1), 108–118.</w:t>
      </w:r>
      <w:r>
        <w:t xml:space="preserve"> </w:t>
      </w:r>
      <w:hyperlink r:id="rId46">
        <w:r>
          <w:rPr>
            <w:rStyle w:val="Hyperlink"/>
          </w:rPr>
          <w:t xml:space="preserve">https://doi.org/10.1675/1524-4695(2003)026[0108:TROBPI]2.0.CO;2</w:t>
        </w:r>
      </w:hyperlink>
    </w:p>
    <w:bookmarkEnd w:id="47"/>
    <w:bookmarkStart w:id="49" w:name="ref-milesDeclineAtlanticPuffin2015"/>
    <w:p>
      <w:pPr>
        <w:pStyle w:val="Bibliography"/>
      </w:pPr>
      <w:r>
        <w:t xml:space="preserve">Miles, W. T. S., Mavor, R., Riddiford, N. J., Harvey, P. V., Riddington, R., Shaw, D. N., Parnaby, D., &amp; Reid, J. M. (2015). Decline in an</w:t>
      </w:r>
      <w:r>
        <w:t xml:space="preserve"> </w:t>
      </w:r>
      <w:r>
        <w:t xml:space="preserve">Atlantic Puffin Population</w:t>
      </w:r>
      <w:r>
        <w:t xml:space="preserve">:</w:t>
      </w:r>
      <w:r>
        <w:t xml:space="preserve"> </w:t>
      </w:r>
      <w:r>
        <w:t xml:space="preserve">Evaluation</w:t>
      </w:r>
      <w:r>
        <w:t xml:space="preserve"> </w:t>
      </w:r>
      <w:r>
        <w:t xml:space="preserve">of</w:t>
      </w:r>
      <w:r>
        <w:t xml:space="preserve"> </w:t>
      </w:r>
      <w:r>
        <w:t xml:space="preserve">Magnitude</w:t>
      </w:r>
      <w:r>
        <w:t xml:space="preserve"> </w:t>
      </w:r>
      <w:r>
        <w:t xml:space="preserve">and</w:t>
      </w:r>
      <w:r>
        <w:t xml:space="preserve"> </w:t>
      </w:r>
      <w:r>
        <w:t xml:space="preserve">Mechanisms</w:t>
      </w:r>
      <w:r>
        <w:t xml:space="preserve">.</w:t>
      </w:r>
      <w:r>
        <w:t xml:space="preserve"> </w:t>
      </w:r>
      <w:r>
        <w:rPr>
          <w:i/>
          <w:iCs/>
        </w:rPr>
        <w:t xml:space="preserve">PLOS ONE</w:t>
      </w:r>
      <w:r>
        <w:t xml:space="preserve">,</w:t>
      </w:r>
      <w:r>
        <w:t xml:space="preserve"> </w:t>
      </w:r>
      <w:r>
        <w:rPr>
          <w:i/>
          <w:iCs/>
        </w:rPr>
        <w:t xml:space="preserve">10</w:t>
      </w:r>
      <w:r>
        <w:t xml:space="preserve">(7), e0131527.</w:t>
      </w:r>
      <w:r>
        <w:t xml:space="preserve"> </w:t>
      </w:r>
      <w:hyperlink r:id="rId48">
        <w:r>
          <w:rPr>
            <w:rStyle w:val="Hyperlink"/>
          </w:rPr>
          <w:t xml:space="preserve">https://doi.org/10.1371/journal.pone.0131527</w:t>
        </w:r>
      </w:hyperlink>
    </w:p>
    <w:bookmarkEnd w:id="49"/>
    <w:bookmarkStart w:id="50" w:name="ref-sandvikHighSurvivalImmatures2008"/>
    <w:p>
      <w:pPr>
        <w:pStyle w:val="Bibliography"/>
      </w:pPr>
      <w:r>
        <w:t xml:space="preserve">Sandvik, H., Erikstad, K. E., Fauchald, P., &amp; Tveraa, T. (2008). High survival of immatures in a long-lived seabird: Insights from a long-term study of the</w:t>
      </w:r>
      <w:r>
        <w:t xml:space="preserve"> </w:t>
      </w:r>
      <w:r>
        <w:t xml:space="preserve">Atlantic</w:t>
      </w:r>
      <w:r>
        <w:t xml:space="preserve"> </w:t>
      </w:r>
      <w:r>
        <w:t xml:space="preserve">puffin (</w:t>
      </w:r>
      <w:r>
        <w:t xml:space="preserve">Fratercula</w:t>
      </w:r>
      <w:r>
        <w:t xml:space="preserve"> </w:t>
      </w:r>
      <w:r>
        <w:t xml:space="preserve">arctica).</w:t>
      </w:r>
      <w:r>
        <w:t xml:space="preserve"> </w:t>
      </w:r>
      <w:r>
        <w:rPr>
          <w:i/>
          <w:iCs/>
        </w:rPr>
        <w:t xml:space="preserve">Auk</w:t>
      </w:r>
      <w:r>
        <w:t xml:space="preserve">,</w:t>
      </w:r>
      <w:r>
        <w:t xml:space="preserve"> </w:t>
      </w:r>
      <w:r>
        <w:rPr>
          <w:i/>
          <w:iCs/>
        </w:rPr>
        <w:t xml:space="preserve">125</w:t>
      </w:r>
      <w:r>
        <w:t xml:space="preserve">, 723–730.</w:t>
      </w:r>
    </w:p>
    <w:bookmarkEnd w:id="50"/>
    <w:bookmarkEnd w:id="51"/>
    <w:bookmarkEnd w:id="52"/>
    <w:sectPr w:rsidR="0075595C" w:rsidSect="00E51EC2">
      <w:type w:val="continuous"/>
      <w:pgSz w:h="15840" w:w="12240"/>
      <w:pgMar w:bottom="1440" w:footer="720" w:gutter="0" w:header="720"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E21F2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48237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4E29B3"/>
    <w:rsid w:val="00590D07"/>
    <w:rsid w:val="0075595C"/>
    <w:rsid w:val="00784D58"/>
    <w:rsid w:val="008D6863"/>
    <w:rsid w:val="00B86B75"/>
    <w:rsid w:val="00BB090D"/>
    <w:rsid w:val="00BB4DC4"/>
    <w:rsid w:val="00BC48D5"/>
    <w:rsid w:val="00BD2612"/>
    <w:rsid w:val="00C36279"/>
    <w:rsid w:val="00D33870"/>
    <w:rsid w:val="00E315A3"/>
    <w:rsid w:val="00E51EC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ind w:firstLine="72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FirstParagraph"/>
    <w:uiPriority w:val="9"/>
    <w:qFormat/>
    <w:pPr>
      <w:keepNext/>
      <w:keepLines/>
      <w:spacing w:after="120" w:before="360" w:line="240" w:lineRule="auto"/>
      <w:ind w:firstLine="0"/>
      <w:outlineLvl w:val="0"/>
    </w:pPr>
    <w:rPr>
      <w:b/>
      <w:bCs/>
      <w:caps/>
    </w:rPr>
  </w:style>
  <w:style w:styleId="Heading2" w:type="paragraph">
    <w:name w:val="heading 2"/>
    <w:basedOn w:val="Normal"/>
    <w:next w:val="FirstParagraph"/>
    <w:uiPriority w:val="9"/>
    <w:unhideWhenUsed/>
    <w:qFormat/>
    <w:pPr>
      <w:keepNext/>
      <w:keepLines/>
      <w:spacing w:after="120" w:before="240" w:line="240" w:lineRule="auto"/>
      <w:ind w:firstLine="0"/>
      <w:outlineLvl w:val="1"/>
    </w:pPr>
    <w:rPr>
      <w:b/>
      <w:bCs/>
    </w:rPr>
  </w:style>
  <w:style w:styleId="Heading3" w:type="paragraph">
    <w:name w:val="heading 3"/>
    <w:basedOn w:val="Normal"/>
    <w:next w:val="FirstParagraph"/>
    <w:uiPriority w:val="9"/>
    <w:unhideWhenUsed/>
    <w:qFormat/>
    <w:pPr>
      <w:keepNext/>
      <w:keepLines/>
      <w:spacing w:after="120" w:before="240" w:line="240" w:lineRule="auto"/>
      <w:ind w:firstLine="0"/>
      <w:outlineLvl w:val="2"/>
    </w:pPr>
    <w:rPr>
      <w:i/>
      <w:iCs/>
    </w:rPr>
  </w:style>
  <w:style w:styleId="Heading4" w:type="paragraph">
    <w:name w:val="heading 4"/>
    <w:basedOn w:val="Normal"/>
    <w:next w:val="FirstParagraph"/>
    <w:uiPriority w:val="9"/>
    <w:unhideWhenUsed/>
    <w:qFormat/>
    <w:pPr>
      <w:keepNext/>
      <w:keepLines/>
      <w:spacing w:after="120" w:before="240" w:line="240" w:lineRule="auto"/>
      <w:ind w:firstLine="0"/>
      <w:outlineLvl w:val="3"/>
    </w:pPr>
    <w:rPr>
      <w:i/>
    </w:rPr>
  </w:style>
  <w:style w:styleId="Heading5" w:type="paragraph">
    <w:name w:val="heading 5"/>
    <w:basedOn w:val="Normal"/>
    <w:next w:val="FirstParagraph"/>
    <w:uiPriority w:val="9"/>
    <w:unhideWhenUsed/>
    <w:qFormat/>
    <w:pPr>
      <w:keepNext/>
      <w:keepLines/>
      <w:spacing w:after="120" w:before="240" w:line="240" w:lineRule="auto"/>
      <w:ind w:firstLine="0"/>
      <w:outlineLvl w:val="4"/>
    </w:pPr>
  </w:style>
  <w:style w:styleId="Heading6" w:type="paragraph">
    <w:name w:val="heading 6"/>
    <w:basedOn w:val="Normal"/>
    <w:next w:val="FirstParagraph"/>
    <w:uiPriority w:val="9"/>
    <w:unhideWhenUsed/>
    <w:qFormat/>
    <w:pPr>
      <w:keepNext/>
      <w:keepLines/>
      <w:spacing w:after="120" w:before="240" w:line="240" w:lineRule="auto"/>
      <w:ind w:firstLine="0"/>
      <w:outlineLvl w:val="5"/>
    </w:pPr>
  </w:style>
  <w:style w:styleId="Heading7" w:type="paragraph">
    <w:name w:val="heading 7"/>
    <w:basedOn w:val="Normal"/>
    <w:next w:val="FirstParagraph"/>
    <w:uiPriority w:val="9"/>
    <w:unhideWhenUsed/>
    <w:qFormat/>
    <w:pPr>
      <w:keepNext/>
      <w:keepLines/>
      <w:spacing w:after="120" w:before="240" w:line="240" w:lineRule="auto"/>
      <w:ind w:firstLine="0"/>
      <w:outlineLvl w:val="6"/>
    </w:pPr>
  </w:style>
  <w:style w:styleId="Heading8" w:type="paragraph">
    <w:name w:val="heading 8"/>
    <w:basedOn w:val="Normal"/>
    <w:next w:val="FirstParagraph"/>
    <w:uiPriority w:val="9"/>
    <w:unhideWhenUsed/>
    <w:qFormat/>
    <w:pPr>
      <w:keepNext/>
      <w:keepLines/>
      <w:spacing w:after="120" w:before="240" w:line="240" w:lineRule="auto"/>
      <w:ind w:firstLine="0"/>
      <w:outlineLvl w:val="7"/>
    </w:pPr>
  </w:style>
  <w:style w:styleId="Heading9" w:type="paragraph">
    <w:name w:val="heading 9"/>
    <w:basedOn w:val="Normal"/>
    <w:next w:val="FirstParagraph"/>
    <w:uiPriority w:val="9"/>
    <w:unhideWhenUsed/>
    <w:qFormat/>
    <w:pPr>
      <w:keepNext/>
      <w:keepLines/>
      <w:spacing w:after="120" w:before="240" w:line="240" w:lineRule="auto"/>
      <w:ind w:firstLine="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spacing w:after="36" w:before="36" w:line="240" w:lineRule="auto"/>
      <w:ind w:firstLine="0"/>
    </w:pPr>
  </w:style>
  <w:style w:styleId="Title" w:type="paragraph">
    <w:name w:val="Title"/>
    <w:basedOn w:val="Normal"/>
    <w:next w:val="Author"/>
    <w:qFormat/>
    <w:pPr>
      <w:keepNext/>
      <w:keepLines/>
      <w:spacing w:after="240" w:line="240" w:lineRule="auto"/>
      <w:ind w:firstLine="0"/>
      <w:jc w:val="center"/>
    </w:pPr>
    <w:rPr>
      <w:b/>
      <w:bCs/>
      <w:caps/>
      <w:sz w:val="28"/>
      <w:szCs w:val="28"/>
    </w:rPr>
  </w:style>
  <w:style w:styleId="Subtitle" w:type="paragraph">
    <w:name w:val="Subtitle"/>
    <w:basedOn w:val="Title"/>
    <w:next w:val="BodyText"/>
    <w:qFormat/>
    <w:pPr>
      <w:spacing w:before="120"/>
    </w:pPr>
    <w:rPr>
      <w:b w:val="0"/>
      <w:i/>
      <w:caps w:val="0"/>
      <w:sz w:val="24"/>
      <w:szCs w:val="24"/>
    </w:rPr>
  </w:style>
  <w:style w:customStyle="1" w:styleId="Author" w:type="paragraph">
    <w:name w:val="Author"/>
    <w:basedOn w:val="Normal"/>
    <w:next w:val="Address"/>
    <w:qFormat/>
    <w:pPr>
      <w:keepNext/>
      <w:keepLines/>
      <w:spacing w:after="120" w:line="240" w:lineRule="auto"/>
      <w:ind w:firstLine="0"/>
      <w:jc w:val="center"/>
    </w:pPr>
    <w:rPr>
      <w:caps/>
    </w:rPr>
  </w:style>
  <w:style w:customStyle="1" w:styleId="Address" w:type="paragraph">
    <w:name w:val="Address"/>
    <w:basedOn w:val="Normal"/>
    <w:qFormat/>
    <w:pPr>
      <w:keepLines/>
      <w:spacing w:line="240" w:lineRule="auto"/>
      <w:ind w:firstLine="0"/>
      <w:jc w:val="center"/>
    </w:pPr>
    <w:rPr>
      <w:i/>
      <w:sz w:val="22"/>
      <w:szCs w:val="22"/>
    </w:rPr>
  </w:style>
  <w:style w:styleId="Date" w:type="paragraph">
    <w:name w:val="Date"/>
    <w:basedOn w:val="Normal"/>
    <w:next w:val="BodyText"/>
    <w:qFormat/>
    <w:pPr>
      <w:keepNext/>
      <w:keepLines/>
      <w:ind w:firstLine="0"/>
      <w:jc w:val="center"/>
    </w:pPr>
  </w:style>
  <w:style w:customStyle="1" w:styleId="AbstractHeading" w:type="paragraph">
    <w:name w:val="Abstract Heading"/>
    <w:basedOn w:val="Normal"/>
    <w:next w:val="Abstract"/>
    <w:qFormat/>
    <w:pPr>
      <w:keepNext/>
      <w:keepLines/>
      <w:spacing w:after="120" w:before="360" w:line="240" w:lineRule="auto"/>
      <w:ind w:firstLine="0"/>
      <w:jc w:val="center"/>
    </w:pPr>
    <w:rPr>
      <w:b/>
      <w:caps/>
    </w:rPr>
  </w:style>
  <w:style w:customStyle="1" w:styleId="Abstract" w:type="paragraph">
    <w:name w:val="Abstract"/>
    <w:basedOn w:val="Normal"/>
    <w:qFormat/>
    <w:pPr>
      <w:keepLines/>
      <w:spacing w:after="120"/>
      <w:ind w:firstLine="0"/>
      <w:jc w:val="both"/>
    </w:pPr>
  </w:style>
  <w:style w:styleId="Bibliography" w:type="paragraph">
    <w:name w:val="Bibliography"/>
    <w:basedOn w:val="Normal"/>
    <w:qFormat/>
    <w:pPr>
      <w:ind w:hanging="720" w:left="720"/>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pPr>
      <w:spacing w:line="240" w:lineRule="auto"/>
      <w:ind w:firstLine="0"/>
    </w:pPr>
    <w:rPr>
      <w:sz w:val="20"/>
      <w:szCs w:val="20"/>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line="240" w:lineRule="auto"/>
      <w:ind w:firstLine="0"/>
      <w:jc w:val="center"/>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ind w:firstLine="0"/>
      <w:jc w:val="center"/>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0"/>
    </w:rPr>
  </w:style>
  <w:style w:styleId="FootnoteReference" w:type="character">
    <w:name w:val="footnote reference"/>
    <w:basedOn w:val="CaptionChar"/>
    <w:rPr>
      <w:vertAlign w:val="superscript"/>
    </w:rPr>
  </w:style>
  <w:style w:styleId="Hyperlink" w:type="character">
    <w:name w:val="Hyperlink"/>
    <w:basedOn w:val="Caption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styleId="LineNumber" w:type="character">
    <w:name w:val="line number"/>
    <w:basedOn w:val="DefaultParagraphFont"/>
    <w:rsid w:val="00D33870"/>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4" Target="https://datazone.birdlife.org/species/factsheet/atlantic-puffin-fratercula-arctica" TargetMode="External" /><Relationship Type="http://schemas.openxmlformats.org/officeDocument/2006/relationships/hyperlink" Id="rId26" Target="https://doi.org/10.1002/ecs2.1283" TargetMode="External" /><Relationship Type="http://schemas.openxmlformats.org/officeDocument/2006/relationships/hyperlink" Id="rId18" Target="https://doi.org/10.1002/wlb3.01546" TargetMode="External" /><Relationship Type="http://schemas.openxmlformats.org/officeDocument/2006/relationships/hyperlink" Id="rId28" Target="https://doi.org/10.1016/j.biocon.2019.06.033" TargetMode="External" /><Relationship Type="http://schemas.openxmlformats.org/officeDocument/2006/relationships/hyperlink" Id="rId30" Target="https://doi.org/10.1111/j.0030-1299.2004.13119.x" TargetMode="External" /><Relationship Type="http://schemas.openxmlformats.org/officeDocument/2006/relationships/hyperlink" Id="rId36" Target="https://doi.org/10.1111/j.0030-1299.2005.13351.x" TargetMode="External" /><Relationship Type="http://schemas.openxmlformats.org/officeDocument/2006/relationships/hyperlink" Id="rId32" Target="https://doi.org/10.1111/j.1461-0248.2004.00588.x" TargetMode="External" /><Relationship Type="http://schemas.openxmlformats.org/officeDocument/2006/relationships/hyperlink" Id="rId41" Target="https://doi.org/10.1111/j.1469-185X.1971.tb01048.x" TargetMode="External" /><Relationship Type="http://schemas.openxmlformats.org/officeDocument/2006/relationships/hyperlink" Id="rId48" Target="https://doi.org/10.1371/journal.pone.0131527" TargetMode="External" /><Relationship Type="http://schemas.openxmlformats.org/officeDocument/2006/relationships/hyperlink" Id="rId46" Target="https://doi.org/10.1675/1524-4695(2003)026[0108:TROBPI]2.0.CO;2" TargetMode="External" /><Relationship Type="http://schemas.openxmlformats.org/officeDocument/2006/relationships/hyperlink" Id="rId44" Target="https://doi.org/10.2173/bow.atlpuf.01" TargetMode="External" /><Relationship Type="http://schemas.openxmlformats.org/officeDocument/2006/relationships/hyperlink" Id="rId22" Target="https://doi.org/10.2305/IUCN.UK.2018-2.RLTS.T22694927A132581443.en" TargetMode="External" /><Relationship Type="http://schemas.openxmlformats.org/officeDocument/2006/relationships/hyperlink" Id="rId20" Target="https://doi.org/10.2307/1365062" TargetMode="External" /><Relationship Type="http://schemas.openxmlformats.org/officeDocument/2006/relationships/hyperlink" Id="rId16" Target="https://doi.org/10.2307/3676349" TargetMode="External" /></Relationships>
</file>

<file path=word/_rels/footnotes.xml.rels><?xml version="1.0" encoding="UTF-8"?><Relationships xmlns="http://schemas.openxmlformats.org/package/2006/relationships"><Relationship Type="http://schemas.openxmlformats.org/officeDocument/2006/relationships/hyperlink" Id="rId24" Target="https://datazone.birdlife.org/species/factsheet/atlantic-puffin-fratercula-arctica" TargetMode="External" /><Relationship Type="http://schemas.openxmlformats.org/officeDocument/2006/relationships/hyperlink" Id="rId26" Target="https://doi.org/10.1002/ecs2.1283" TargetMode="External" /><Relationship Type="http://schemas.openxmlformats.org/officeDocument/2006/relationships/hyperlink" Id="rId18" Target="https://doi.org/10.1002/wlb3.01546" TargetMode="External" /><Relationship Type="http://schemas.openxmlformats.org/officeDocument/2006/relationships/hyperlink" Id="rId28" Target="https://doi.org/10.1016/j.biocon.2019.06.033" TargetMode="External" /><Relationship Type="http://schemas.openxmlformats.org/officeDocument/2006/relationships/hyperlink" Id="rId30" Target="https://doi.org/10.1111/j.0030-1299.2004.13119.x" TargetMode="External" /><Relationship Type="http://schemas.openxmlformats.org/officeDocument/2006/relationships/hyperlink" Id="rId36" Target="https://doi.org/10.1111/j.0030-1299.2005.13351.x" TargetMode="External" /><Relationship Type="http://schemas.openxmlformats.org/officeDocument/2006/relationships/hyperlink" Id="rId32" Target="https://doi.org/10.1111/j.1461-0248.2004.00588.x" TargetMode="External" /><Relationship Type="http://schemas.openxmlformats.org/officeDocument/2006/relationships/hyperlink" Id="rId41" Target="https://doi.org/10.1111/j.1469-185X.1971.tb01048.x" TargetMode="External" /><Relationship Type="http://schemas.openxmlformats.org/officeDocument/2006/relationships/hyperlink" Id="rId48" Target="https://doi.org/10.1371/journal.pone.0131527" TargetMode="External" /><Relationship Type="http://schemas.openxmlformats.org/officeDocument/2006/relationships/hyperlink" Id="rId46" Target="https://doi.org/10.1675/1524-4695(2003)026[0108:TROBPI]2.0.CO;2" TargetMode="External" /><Relationship Type="http://schemas.openxmlformats.org/officeDocument/2006/relationships/hyperlink" Id="rId44" Target="https://doi.org/10.2173/bow.atlpuf.01" TargetMode="External" /><Relationship Type="http://schemas.openxmlformats.org/officeDocument/2006/relationships/hyperlink" Id="rId22" Target="https://doi.org/10.2305/IUCN.UK.2018-2.RLTS.T22694927A132581443.en" TargetMode="External" /><Relationship Type="http://schemas.openxmlformats.org/officeDocument/2006/relationships/hyperlink" Id="rId20" Target="https://doi.org/10.2307/1365062" TargetMode="External" /><Relationship Type="http://schemas.openxmlformats.org/officeDocument/2006/relationships/hyperlink" Id="rId16" Target="https://doi.org/10.2307/3676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2026-07-31T20:46:39Z</dcterms:created>
  <dcterms:modified xsi:type="dcterms:W3CDTF">2026-07-31T20:46:39Z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