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7.png" ContentType="image/png"/>
  <Override PartName="/word/media/rId102.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w:t>
      </w:r>
      <w:r>
        <w:t xml:space="preserve"> </w:t>
      </w:r>
      <w:r>
        <w:rPr>
          <w:i/>
          <w:iCs/>
        </w:rPr>
        <w:t xml:space="preserve">Fratercula arctica</w:t>
      </w:r>
      <w:r>
        <w:t xml:space="preserve"> </w:t>
      </w:r>
      <w:r>
        <w:t xml:space="preserve">are disappearing from Faroese colonies</w:t>
      </w:r>
    </w:p>
    <w:p>
      <w:pPr>
        <w:pStyle w:val="Author"/>
      </w:pPr>
      <w:r>
        <w:t xml:space="preserve">ANNE N.M.A. AUSEMS</w:t>
      </w:r>
      <w:r>
        <w:rPr>
          <w:vertAlign w:val="superscript"/>
        </w:rPr>
        <w:t xml:space="preserve">1</w:t>
      </w:r>
      <w:r>
        <w:t xml:space="preserve">, &amp;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p>
      <w:pPr>
        <w:pStyle w:val="Received"/>
      </w:pPr>
      <w:r>
        <w:t xml:space="preserve">Received 05 August 2026, accepted xxxx</w:t>
      </w:r>
    </w:p>
    <w:bookmarkStart w:id="9" w:name="abstract"/>
    <w:p>
      <w:pPr>
        <w:pStyle w:val="Heading1"/>
      </w:pPr>
      <w:r>
        <w:t xml:space="preserve">ABSTRACT</w:t>
      </w:r>
    </w:p>
    <w:p>
      <w:pPr>
        <w:pStyle w:val="FirstParagraph"/>
      </w:pPr>
      <w:r>
        <w:t xml:space="preserve">Ausems, A. N. M. A., &amp; Jensen, J.-K. (2026). Pre-breeding Atlantic Puffins</w:t>
      </w:r>
      <w:r>
        <w:t xml:space="preserve"> </w:t>
      </w:r>
      <w:r>
        <w:rPr>
          <w:i/>
          <w:iCs/>
        </w:rPr>
        <w:t xml:space="preserve">Fratercula arctica</w:t>
      </w:r>
      <w:r>
        <w:t xml:space="preserve"> </w:t>
      </w:r>
      <w:r>
        <w:t xml:space="preserve">are disappearing from Faroese colonies.</w:t>
      </w:r>
      <w:r>
        <w:t xml:space="preserve"> </w:t>
      </w:r>
      <w:r>
        <w:rPr>
          <w:i/>
          <w:iCs/>
        </w:rPr>
        <w:t xml:space="preserve">Marine Ornithology</w:t>
      </w:r>
      <w:r>
        <w:t xml:space="preserve">, 54(x), xxx–xxx. http://doi.org/10.5038/2074-1235.54.x.xxxx</w:t>
      </w:r>
    </w:p>
    <w:p>
      <w:pPr>
        <w:pStyle w:val="BodyText"/>
      </w:pPr>
      <w:r>
        <w:t xml:space="preserve">Ongoing climate change and increasing human-induced environmental change are causing substantial declines in seabirds. The Atlantic Puffin</w:t>
      </w:r>
      <w:r>
        <w:t xml:space="preserve"> </w:t>
      </w:r>
      <w:r>
        <w:rPr>
          <w:i/>
          <w:iCs/>
        </w:rPr>
        <w:t xml:space="preserve">Fratercula arctica</w:t>
      </w:r>
      <w:r>
        <w:t xml:space="preserve"> </w:t>
      </w:r>
      <w:r>
        <w:t xml:space="preserve">(hereafter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yr (1995-2008) of data on female puffins harvested in</w:t>
      </w:r>
      <w:r>
        <w:t xml:space="preserve"> </w:t>
      </w:r>
      <w:r>
        <w:rPr>
          <w:i/>
          <w:iCs/>
        </w:rPr>
        <w:t xml:space="preserve">Føroyar</w:t>
      </w:r>
      <w:r>
        <w:t xml:space="preserve"> </w:t>
      </w:r>
      <w:r>
        <w:t xml:space="preserve">(Eng. the Faroe Islands) to determine whether the proportion of confirmed breeders (i.e., those females with</w:t>
      </w:r>
      <w:r>
        <w:t xml:space="preserve"> </w:t>
      </w:r>
      <w:r>
        <w:t xml:space="preserve">‘convoluted’</w:t>
      </w:r>
      <w:r>
        <w:t xml:space="preserve"> </w:t>
      </w:r>
      <w:r>
        <w:t xml:space="preserve">oviducts, indicating that they had laid an egg at least once in their lifetime) in the harvested sample increased over time. We also scored brood patch as a proxy for ongoing breeding in the sample year, as the harvest was carried out well into the chick rearing period and hormonal brood patches (without active breeding attempt) should have disappeared. We found that the observed proportion of confirmed breeders increased from approximately 15% in the earlier study years to 78% in 2008, and that within birds without a brood patch, the proportion of confirmed breeders increased as well. Together, we showed that the representation of young, pre-breeding female birds declined in the sample, suggesting a substantial decline in recruitment. While the hunt is unlikely to be the main driver of the population decline in</w:t>
      </w:r>
      <w:r>
        <w:t xml:space="preserve"> </w:t>
      </w:r>
      <w:r>
        <w:rPr>
          <w:i/>
          <w:iCs/>
        </w:rPr>
        <w:t xml:space="preserve">Føroyar</w:t>
      </w:r>
      <w:r>
        <w:t xml:space="preserve">, even reduced harvesting is likely unsustainable under current, global conditions.</w:t>
      </w:r>
    </w:p>
    <w:bookmarkEnd w:id="9"/>
    <w:bookmarkStart w:id="10" w:name="samandráttur"/>
    <w:p>
      <w:pPr>
        <w:pStyle w:val="Heading1"/>
      </w:pPr>
      <w:r>
        <w:t xml:space="preserve">SAMANDRÁTTUR</w:t>
      </w:r>
    </w:p>
    <w:p>
      <w:pPr>
        <w:pStyle w:val="FirstParagraph"/>
      </w:pPr>
      <w:r>
        <w:t xml:space="preserve">Áhaldandi veðurlagsbroytingar og øktar umhvørvisbroytingar av menniskjaávum hava við sær týðiligar broytingar í talinum á sjófugli. Eitt av ávirkaðu fuglasløgunum er lundin</w:t>
      </w:r>
      <w:r>
        <w:t xml:space="preserve">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vísa á, at ungfuglar, sum ikki høvdu ynglað enn, hvurvu úr sýnunum, og hetta bendir á stórar trupulleikar hjá stovninum at seta nýggjan ynglifugl við. Tað er neyvan veiðan, sum er høvuðsorsøkin til, at stovnurin minkar í Føroyum, men sjálvt avmarkað veiða er óburðardygg undir núverandi umstøðum.</w:t>
      </w:r>
    </w:p>
    <w:p>
      <w:pPr>
        <w:pStyle w:val="BodyText"/>
      </w:pPr>
      <w:r>
        <w:rPr>
          <w:b/>
          <w:bCs/>
        </w:rPr>
        <w:t xml:space="preserve">Key words:</w:t>
      </w:r>
      <w:r>
        <w:t xml:space="preserve"> </w:t>
      </w:r>
      <w:r>
        <w:t xml:space="preserve">demographics, seabirds, traditional harvest, recruitment, brood patch, seabird conservation</w:t>
      </w:r>
    </w:p>
    <w:bookmarkEnd w:id="10"/>
    <w:bookmarkStart w:id="11"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 threats directly cause mortality, such as bycatch, hunting and increased storms due to climate change</w:t>
      </w:r>
      <w:r>
        <w:t xml:space="preserve"> </w:t>
      </w:r>
      <w:r>
        <w:t xml:space="preserve">(Clairbaux et al., 2021)</w:t>
      </w:r>
      <w:r>
        <w:t xml:space="preserve">. In long-lived species such as seabirds, changes in adult survival can have strong effects on population dynamics</w:t>
      </w:r>
      <w:r>
        <w:t xml:space="preserve"> </w:t>
      </w:r>
      <w:r>
        <w:t xml:space="preserve">(Doherty et al., 2004; Jenouvrier et al., 2005)</w:t>
      </w:r>
      <w:r>
        <w:t xml:space="preserve">. Even minor threats directly affecting survival can have large impacts, which may have especially detrimental effects in already vulnerable species where small or declining populations can absorb less additional mortality. In contrast, the elasticity of population growth rate to breeding success and recruitment rate is relatively low, but because they can react strongly to changes in environmental conditions</w:t>
      </w:r>
      <w:r>
        <w:t xml:space="preserve"> </w:t>
      </w:r>
      <w:r>
        <w:t xml:space="preserve">(Jenouvrier et al., 2005)</w:t>
      </w:r>
      <w:r>
        <w:t xml:space="preserve">, these factors may have the strongest effect on population growth rate overall</w:t>
      </w:r>
      <w:r>
        <w:t xml:space="preserve"> </w:t>
      </w:r>
      <w:r>
        <w:t xml:space="preserve">(Miles et al., 2015)</w:t>
      </w:r>
      <w:r>
        <w:t xml:space="preserve">. In fact, birds of pre-breeding age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w:t>
      </w:r>
      <w:r>
        <w:t xml:space="preserve"> </w:t>
      </w:r>
      <w:r>
        <w:rPr>
          <w:i/>
          <w:iCs/>
        </w:rPr>
        <w:t xml:space="preserve">Fratercula arctica</w:t>
      </w:r>
      <w:r>
        <w:t xml:space="preserve"> </w:t>
      </w:r>
      <w:r>
        <w:t xml:space="preserve">(hereafter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On average, puffins start breeding when they are between 4 and 5 yr old, occasionally they can start as early as 3 yr old, and often the first breeding attempt is after 5 yr old</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long-standing, culturally important tradition, where hunters catch flying puffins from set locations on land using a specially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 As with the assessment of the decline, this status change was not based on rigorous counts, but rather a general impression of the colony, and may thus be subject to shifting baselines</w:t>
      </w:r>
      <w:r>
        <w:t xml:space="preserve"> </w:t>
      </w:r>
      <w:r>
        <w:t xml:space="preserve">(Papworth et al., 2009; Pauly, 1995; Sáenz-Arroyo et al., 2005)</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landkomudagur</w:t>
      </w:r>
      <w:r>
        <w:t xml:space="preserve"> </w:t>
      </w:r>
      <w:r>
        <w:t xml:space="preserve">(literally translated</w:t>
      </w:r>
      <w:r>
        <w:t xml:space="preserve"> </w:t>
      </w:r>
      <w:r>
        <w:t xml:space="preserve">“land-coming days”</w:t>
      </w:r>
      <w:r>
        <w:t xml:space="preserve">, i.e., days when a large number of birds attend the colony) 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 Major et al., 2021)</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20-yr dataset on legally harvested puffins</w:t>
      </w:r>
      <w:r>
        <w:t xml:space="preserve"> </w:t>
      </w:r>
      <w:r>
        <w:t xml:space="preserve">(Løgtingslóg Um Fuglaveiðu, Sum Seinast Broytt Við Løgtingslóg Nr. 70 Frá 22. Mai 2023, 1984)</w:t>
      </w:r>
      <w:r>
        <w:t xml:space="preserve">, we tested whether females of breeding age were harvested. We hypothesise that, as the overall age of the population is increasing and the proportion of young (i.e., &lt;4 calendar yr) is declining</w:t>
      </w:r>
      <w:r>
        <w:t xml:space="preserve"> </w:t>
      </w:r>
      <w:r>
        <w:t xml:space="preserve">(Ausems et al., 2026)</w:t>
      </w:r>
      <w:r>
        <w:t xml:space="preserve">, the proportion of females of breeding age in the sample increased over the study period. Secondly, we tested whether breeding propensity changed over time by assessing brood patch presence in the sample. We could not find studies detailing the development and regression of brood patches in puffins or other auks, but in other birds, brood patch formation is induced by hormones before the breeding season</w:t>
      </w:r>
      <w:r>
        <w:t xml:space="preserve"> </w:t>
      </w:r>
      <w:r>
        <w:t xml:space="preserve">(Jones, 1971)</w:t>
      </w:r>
      <w:r>
        <w:t xml:space="preserve"> </w:t>
      </w:r>
      <w:r>
        <w:t xml:space="preserve">and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as their hormone levels went back down, while actively incubating and brooding birds still retained theirs. We predicted that females of breeding age would be less likely to have a brood patch later in the study period, indicating increased breeding failures or an increase in birds foregoing breeding.</w:t>
      </w:r>
    </w:p>
    <w:bookmarkEnd w:id="11"/>
    <w:bookmarkStart w:id="12"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haphazardly selected puffins harvested on the islands of Nólsoy from 1989 to 2006, and on Mykines in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The puffin harvest officially opens 02 July, with an end-date of 08 August. However, this was not always adhered to as the earliest sample date was</w:t>
      </w:r>
      <w:r>
        <w:t xml:space="preserve"> </w:t>
      </w:r>
      <w:r>
        <w:rPr>
          <w:b/>
          <w:color w:val="FF0000"/>
        </w:rPr>
        <w:t xml:space="preserve">08 June</w:t>
      </w:r>
      <w:r>
        <w:t xml:space="preserve"> </w:t>
      </w:r>
      <w:r>
        <w:t xml:space="preserve">(2006) and the latest sample in our dataset was harvested 16 August (1997;</w:t>
      </w:r>
      <w:r>
        <w:t xml:space="preserve"> </w:t>
      </w:r>
      <w:hyperlink w:anchor="tbl-harvest">
        <w:r>
          <w:rPr>
            <w:rStyle w:val="Hyperlink"/>
          </w:rPr>
          <w:t xml:space="preserve">Table 1</w:t>
        </w:r>
      </w:hyperlink>
      <w:r>
        <w:t xml:space="preserve">). J-KJ acquired an arbitrary number of puffins (range: 9–450; median: 277.5;</w:t>
      </w:r>
      <w:r>
        <w:t xml:space="preserve"> </w:t>
      </w:r>
      <w:hyperlink w:anchor="tbl-harvest">
        <w:r>
          <w:rPr>
            <w:rStyle w:val="Hyperlink"/>
          </w:rPr>
          <w:t xml:space="preserve">Table 1</w:t>
        </w:r>
      </w:hyperlink>
      <w:r>
        <w:t xml:space="preserve">) from hunters when they returned to the village. Hunters placed the harvested puffins in a big pile on the ground prior to processing. From one pile per hunting day, J-KJ collected a haphazard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confirmed breeding age</w:t>
      </w:r>
      <w:r>
        <w:t xml:space="preserve"> </w:t>
      </w:r>
      <w:r>
        <w:t xml:space="preserve">(Van Franeker, 2004)</w:t>
      </w:r>
      <w:r>
        <w:t xml:space="preserve">. For males, it is impossible to determine whether they have bred before. Based on bill characteristics, we could only determine their age up to 4 yr</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w:t>
      </w:r>
      <w:r>
        <w:rPr>
          <w:i/>
          <w:iCs/>
        </w:rPr>
        <w:t xml:space="preserve">n</w:t>
      </w:r>
      <w:r>
        <w:t xml:space="preserve"> </w:t>
      </w:r>
      <w:r>
        <w:t xml:space="preserve">= 1,995). We removed individuals for which breeding state could not be determined (</w:t>
      </w:r>
      <w:r>
        <w:rPr>
          <w:i/>
          <w:iCs/>
        </w:rPr>
        <w:t xml:space="preserve">n</w:t>
      </w:r>
      <w:r>
        <w:t xml:space="preserve"> </w:t>
      </w:r>
      <w:r>
        <w:t xml:space="preserve">= 74) and individuals for which brood patch was not scored (</w:t>
      </w:r>
      <w:r>
        <w:rPr>
          <w:i/>
          <w:iCs/>
        </w:rPr>
        <w:t xml:space="preserve">n</w:t>
      </w:r>
      <w:r>
        <w:t xml:space="preserve"> </w:t>
      </w:r>
      <w:r>
        <w:t xml:space="preserve">=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sceptical normal (0, 1) prior on the year trend, and the default Student-</w:t>
      </w:r>
      <w:r>
        <w:rPr>
          <w:i/>
          <w:iCs/>
        </w:rPr>
        <w:t xml:space="preserve">t</w:t>
      </w:r>
      <w:r>
        <w:t xml:space="preserve"> </w:t>
      </w:r>
      <w:r>
        <w:t xml:space="preserve">(3, 0, 2.5) prior on the intercept. We centred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 We report all estimates as posterior medians with 95% credible intervals (CI; 2.5th and 97.5th percentiles of the posterior).</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females of confirmed breeding age with a second GLM with brood patch presence as response variable and year as covariate, including only females of confirmed breeding age (</w:t>
      </w:r>
      <w:r>
        <w:rPr>
          <w:i/>
          <w:iCs/>
        </w:rPr>
        <w:t xml:space="preserve">n</w:t>
      </w:r>
      <w:r>
        <w:t xml:space="preserve"> </w:t>
      </w:r>
      <w:r>
        <w:t xml:space="preserve">= 469). We used the same priors as for the full model, excluding the interaction term. As a second robustness check to confirm that the low sample size (</w:t>
      </w:r>
      <w:r>
        <w:rPr>
          <w:i/>
          <w:iCs/>
        </w:rPr>
        <w:t xml:space="preserve">n</w:t>
      </w:r>
      <w:r>
        <w:t xml:space="preserve"> </w:t>
      </w:r>
      <w:r>
        <w:t xml:space="preserve">= 5) in 2007 did not have an undue effect on the overall outcome, we refit the full model excluding 2007. We also tested whether the change in sampling location had an effect by refitting the model excluding individuals collected on Mykines.</w:t>
      </w:r>
    </w:p>
    <w:bookmarkEnd w:id="12"/>
    <w:bookmarkStart w:id="13" w:name="results"/>
    <w:p>
      <w:pPr>
        <w:pStyle w:val="Heading1"/>
      </w:pPr>
      <w:r>
        <w:t xml:space="preserve">Results</w:t>
      </w:r>
    </w:p>
    <w:p>
      <w:pPr>
        <w:pStyle w:val="FirstParagraph"/>
      </w:pPr>
      <w:r>
        <w:t xml:space="preserve">The model passed the validation checks (Appendix) with all</w:t>
      </w:r>
      <w:r>
        <w:t xml:space="preserve"> </w:t>
      </w:r>
      <m:oMath>
        <m:acc>
          <m:accPr>
            <m:chr m:val="̂"/>
          </m:accPr>
          <m:e>
            <m:r>
              <m:t>R</m:t>
            </m:r>
          </m:e>
        </m:acc>
      </m:oMath>
      <w:r>
        <w:t xml:space="preserve"> </w:t>
      </w:r>
      <w:r>
        <w:t xml:space="preserve">≤ 1.001 and high ESS (bulk/tail ESS &gt; 8,900 of 12,000 post-warmup draws). All Pareto</w:t>
      </w:r>
      <w:r>
        <w:t xml:space="preserve"> </w:t>
      </w:r>
      <w:r>
        <w:rPr>
          <w:i/>
          <w:iCs/>
        </w:rPr>
        <w:t xml:space="preserve">k</w:t>
      </w:r>
      <w:r>
        <w:t xml:space="preserve"> </w:t>
      </w:r>
      <w:r>
        <w:t xml:space="preserve">estimates were &lt; 0.7 (expected log pointwise predictive density (ELPD) ± standard error (SE) = -856.24 ± 26.99, effective parameters ± SE = 3.69 ± 0.28). The robustness check models also passed all checks (Appendix).</w:t>
      </w:r>
    </w:p>
    <w:p>
      <w:pPr>
        <w:pStyle w:val="BodyText"/>
      </w:pPr>
      <w:r>
        <w:t xml:space="preserve">The GLM showed an increase in the proportion of females of confirmed breeding age over time (</w:t>
      </w:r>
      <w:hyperlink w:anchor="fig-marg-bar">
        <w:r>
          <w:rPr>
            <w:rStyle w:val="Hyperlink"/>
          </w:rPr>
          <w:t xml:space="preserve">Fig. 2</w:t>
        </w:r>
      </w:hyperlink>
      <w:r>
        <w:t xml:space="preserve">), with a strong increase within females without a brood patch, and a less certain increase in females with a brood patch (</w:t>
      </w:r>
      <w:hyperlink w:anchor="fig-pred1">
        <w:r>
          <w:rPr>
            <w:rStyle w:val="Hyperlink"/>
          </w:rPr>
          <w:t xml:space="preserve">Fig. 3</w:t>
        </w:r>
      </w:hyperlink>
      <w:r>
        <w:t xml:space="preserve">). In the first study year (1995), 17% (31 of 186) of sampled females were of confirmed breeding age. Given that year’s brood patch composition (9% with brood patch), the model predicted a probability of 0.13 (95% CI: 0.12–0.15). In comparison, in the last year of the study period (2008), 78% (47 of 60) of sampled females were of confirmed breeding age, an increase of 78%. Given that year’s brood patch composition (32% with brood patch), the model predicted a probability of 0.58 (95% CI: 0.52–0.63;</w:t>
      </w:r>
      <w:r>
        <w:t xml:space="preserve"> </w:t>
      </w:r>
      <w:hyperlink w:anchor="fig-marg-bar">
        <w:r>
          <w:rPr>
            <w:rStyle w:val="Hyperlink"/>
          </w:rPr>
          <w:t xml:space="preserve">Fig. 2</w:t>
        </w:r>
      </w:hyperlink>
      <w:r>
        <w:t xml:space="preserve">), an increase of 0.44. Standardised to the average brood patch composition across all years (10%), the predicted probability increased from 0.14 (95% CI: 0.12–0.16) in 1995 to 0.47 (95% CI: 0.41–0.53) in 2008, an increase of 0.33 (95% CI: 0.26–0.40) over the study period. Confirmed breeding odds increased by a factor of 5.56 (95% CI: 3.88-7.99; posterior probability of an increase = 100.0%) per decade in females without a brood patch (the baseline for the model) and 2.54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females of confirmed breeding age (odds ratio 0.90/decade; 95% CI [0.56-1.44]; posterior probability of a decrease = 67.7%;</w:t>
      </w:r>
      <w:r>
        <w:t xml:space="preserve"> </w:t>
      </w:r>
      <w:hyperlink w:anchor="fig-pred2">
        <w:r>
          <w:rPr>
            <w:rStyle w:val="Hyperlink"/>
          </w:rPr>
          <w:t xml:space="preserve">Fig. 4</w:t>
        </w:r>
      </w:hyperlink>
      <w:r>
        <w:t xml:space="preserve">).</w:t>
      </w:r>
    </w:p>
    <w:p>
      <w:pPr>
        <w:pStyle w:val="BodyText"/>
      </w:pPr>
      <w:r>
        <w:t xml:space="preserve">Removing only 2007 did not change the model predictions (Δ odds ratio, 2007-excluded refit minus full model: intercept 0.00, year -0.01, brood patch presence -0.04, interaction 0.00). Removing Mykines (i.e., 2007 and 2008) did not change the model conclusions, but reduced the effect (Δ odds ratio, Mykines-excluded refit minus full model: intercept 0.00, year -1.71, brood patch presence -0.14, interaction 0.04). Without Mykines, confirmed breeding odds increased by a factor of 3.85 (95% CI: 2.57-5.75; posterior probability of an increase = 100.0%) per decade in females without a brood patch and 1.95 (95% CI: 0.62-5.94; posterior probability of an increase = 88.0%) for females with a brood patch.</w:t>
      </w:r>
    </w:p>
    <w:bookmarkEnd w:id="13"/>
    <w:bookmarkStart w:id="14" w:name="discussion"/>
    <w:p>
      <w:pPr>
        <w:pStyle w:val="Heading1"/>
      </w:pPr>
      <w:r>
        <w:t xml:space="preserve">Discussion</w:t>
      </w:r>
    </w:p>
    <w:p>
      <w:pPr>
        <w:pStyle w:val="FirstParagraph"/>
      </w:pPr>
      <w:r>
        <w:t xml:space="preserve">Our results show that the self-imposed rules were reasonably effective early in the study period when approximately 15-30% of the female harvest were birds of confirmed breeding age (</w:t>
      </w:r>
      <w:hyperlink w:anchor="tbl-harvest">
        <w:r>
          <w:rPr>
            <w:rStyle w:val="Hyperlink"/>
          </w:rPr>
          <w:t xml:space="preserve">Table 1</w:t>
        </w:r>
      </w:hyperlink>
      <w:r>
        <w:t xml:space="preserve">). However, in the later years leading up to the suspension of the harvest, the observed proportion of birds of confirmed breeding age steeply increased to a peak of 78% (</w:t>
      </w:r>
      <w:hyperlink w:anchor="tbl-harvest">
        <w:r>
          <w:rPr>
            <w:rStyle w:val="Hyperlink"/>
          </w:rPr>
          <w:t xml:space="preserve">Table 1</w:t>
        </w:r>
      </w:hyperlink>
      <w:r>
        <w:t xml:space="preserve">). Our model showed that this increase was not an artefact of changes in brood patch prevalence. Standardised to a constant brood patch composition, the model-predicted probability of confirmed breeding more than tripled over the study period (</w:t>
      </w:r>
      <w:hyperlink w:anchor="fig-marg-bar">
        <w:r>
          <w:rPr>
            <w:rStyle w:val="Hyperlink"/>
          </w:rPr>
          <w:t xml:space="preserve">Fig. 2</w:t>
        </w:r>
      </w:hyperlink>
      <w:r>
        <w:t xml:space="preserve">), and it increased in females without a brood patch and, less certainly, in females with a brood patch (</w:t>
      </w:r>
      <w:hyperlink w:anchor="fig-pred1">
        <w:r>
          <w:rPr>
            <w:rStyle w:val="Hyperlink"/>
          </w:rPr>
          <w:t xml:space="preserve">Fig. 3</w:t>
        </w:r>
      </w:hyperlink>
      <w:r>
        <w:t xml:space="preserve">). This pattern held when excluding the Mykines samples, although the estimated increase was smaller (Appendix). Furthermore, we found no trend in brood patch presence among females of confirmed breeding age (</w:t>
      </w:r>
      <w:hyperlink w:anchor="fig-pred2">
        <w:r>
          <w:rPr>
            <w:rStyle w:val="Hyperlink"/>
          </w:rPr>
          <w:t xml:space="preserve">Fig. 4</w:t>
        </w:r>
      </w:hyperlink>
      <w:r>
        <w:t xml:space="preserve">), indicating that 1) birds of breeding age were not more or less likely to attempt breeding in a given year, and 2) within the group of birds without a brood patch, birds of breeding age became more prevalent (</w:t>
      </w:r>
      <w:hyperlink w:anchor="fig-pred1">
        <w:r>
          <w:rPr>
            <w:rStyle w:val="Hyperlink"/>
          </w:rPr>
          <w:t xml:space="preserve">Fig. 3</w:t>
        </w:r>
      </w:hyperlink>
      <w:r>
        <w:t xml:space="preserve">). Together, this indicates that pre-breeding birds became less represented in the sample, rather than brood patch detectability changing in birds of confirmed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yr. Our current study only includes female birds, as we cannot confirm breeding status in males</w:t>
      </w:r>
      <w:r>
        <w:t xml:space="preserve"> </w:t>
      </w:r>
      <w:r>
        <w:t xml:space="preserve">(Van Franeker, 2004)</w:t>
      </w:r>
      <w:r>
        <w:t xml:space="preserve">.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increasingly likely to be caught as breeding success decreases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Our study is based on data collected several decades ago, with the latest study year being 2008. As no comprehensive counts are collected in the Nólsoy colony, there is no evidence showing whether the trends are continuing or not. The fact that the colony was deemed stable enough to sustain (limited) harvesting in 2021</w:t>
      </w:r>
      <w:r>
        <w:t xml:space="preserve"> </w:t>
      </w:r>
      <w:r>
        <w:t xml:space="preserve">(Ausems et al., 2026)</w:t>
      </w:r>
      <w:r>
        <w:t xml:space="preserve">, suggests that the colony has substantially grown between 2008 and 2021. However, this status change was not based on counts but rather the impression of the hunters and may thus be subject to shifting baselines</w:t>
      </w:r>
      <w:r>
        <w:t xml:space="preserve"> </w:t>
      </w:r>
      <w:r>
        <w:t xml:space="preserve">(Papworth et al., 2009; Pauly, 1995; Sáenz-Arroyo et al., 2005)</w:t>
      </w:r>
      <w:r>
        <w:t xml:space="preserve">. Furthermore,</w:t>
      </w:r>
      <w:r>
        <w:t xml:space="preserve"> </w:t>
      </w:r>
      <w:r>
        <w:t xml:space="preserve">Stempniewicz &amp; Jensen (2007)</w:t>
      </w:r>
      <w:r>
        <w:t xml:space="preserve"> </w:t>
      </w:r>
      <w:r>
        <w:t xml:space="preserve">note that in the late 1990s,</w:t>
      </w:r>
      <w:r>
        <w:t xml:space="preserve"> </w:t>
      </w:r>
      <w:r>
        <w:t xml:space="preserve">“10,000 individuals were taken annually at the Nólsoy colony”</w:t>
      </w:r>
      <w:r>
        <w:t xml:space="preserve">, which was probably only delayed by the immigration of immature puffins from elsewhere</w:t>
      </w:r>
      <w:r>
        <w:t xml:space="preserve"> </w:t>
      </w:r>
      <w:r>
        <w:t xml:space="preserve">(Stempniewicz &amp; Jensen, 2007)</w:t>
      </w:r>
      <w:r>
        <w:t xml:space="preserve">. Considering the reported global decline of Atlantic Puffins</w:t>
      </w:r>
      <w:r>
        <w:t xml:space="preserve"> </w:t>
      </w:r>
      <w:r>
        <w:t xml:space="preserve">(BirdLife International, 2018)</w:t>
      </w:r>
      <w:r>
        <w:t xml:space="preserve">, we believe it likely that the Faroese population is affected by the same environmental drivers of this decrease.</w:t>
      </w:r>
    </w:p>
    <w:p>
      <w:pPr>
        <w:pStyle w:val="BodyText"/>
      </w:pPr>
      <w:r>
        <w:t xml:space="preserve">Overall, we believe that the harvested sample, although intentionally biased towards younger birds, represents an ongoing trend in the whole Faroese, and potentially North Atlantic, population: insufficient recruitment that is causing the overall population to age</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(2026) as the requested harvest was deemed likely to negatively affect the population</w:t>
      </w:r>
      <w:r>
        <w:t xml:space="preserve"> </w:t>
      </w:r>
      <w:r>
        <w:t xml:space="preserve">(NatureScot, 2026)</w:t>
      </w:r>
      <w:r>
        <w:t xml:space="preserve">.</w:t>
      </w:r>
    </w:p>
    <w:bookmarkEnd w:id="14"/>
    <w:bookmarkStart w:id="15"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 We thank Heather L. Major and an anonymous reviewer for providing comments that helped us improve our paper.</w:t>
      </w:r>
    </w:p>
    <w:bookmarkEnd w:id="15"/>
    <w:bookmarkStart w:id="16" w:name="author-contributions"/>
    <w:p>
      <w:pPr>
        <w:pStyle w:val="Heading1"/>
      </w:pPr>
      <w:r>
        <w:t xml:space="preserve">Author contributions</w:t>
      </w:r>
    </w:p>
    <w:p>
      <w:pPr>
        <w:pStyle w:val="FirstParagraph"/>
      </w:pPr>
      <w:r>
        <w:t xml:space="preserve">Conceptualization: AA, JKJ. Data curation: AA, JKJ. Formal analysis: AA. Investigation: JKJ. Methodology: AA, JKJ. Resources: JKJ. Validation: AA. Visualization: AA. Writing—original draft: AA. Writing—review &amp; editing: all coauthors.</w:t>
      </w:r>
    </w:p>
    <w:bookmarkEnd w:id="16"/>
    <w:bookmarkStart w:id="19"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7">
        <w:r>
          <w:rPr>
            <w:rStyle w:val="Hyperlink"/>
          </w:rPr>
          <w:t xml:space="preserve">https://github.com/AnneAus/puffin_female_harvest</w:t>
        </w:r>
      </w:hyperlink>
      <w:r>
        <w:t xml:space="preserve">, archived at Zenodo:</w:t>
      </w:r>
      <w:r>
        <w:t xml:space="preserve"> </w:t>
      </w:r>
      <w:hyperlink r:id="rId18">
        <w:r>
          <w:rPr>
            <w:rStyle w:val="Hyperlink"/>
          </w:rPr>
          <w:t xml:space="preserve">https://doi.org/10.5281/zenodo.21780561</w:t>
        </w:r>
      </w:hyperlink>
      <w:r>
        <w:t xml:space="preserve"> </w:t>
      </w:r>
      <w:r>
        <w:t xml:space="preserve">(Ausems &amp; Jensen, 2026)</w:t>
      </w:r>
      <w:r>
        <w:t xml:space="preserve">.</w:t>
      </w:r>
    </w:p>
    <w:bookmarkEnd w:id="19"/>
    <w:bookmarkStart w:id="114" w:name="references"/>
    <w:p>
      <w:pPr>
        <w:pStyle w:val="Heading1"/>
      </w:pPr>
      <w:r>
        <w:t xml:space="preserve">REFERENCES</w:t>
      </w:r>
    </w:p>
    <w:bookmarkStart w:id="91" w:name="refs"/>
    <w:bookmarkStart w:id="21"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20">
        <w:r>
          <w:rPr>
            <w:rStyle w:val="Hyperlink"/>
          </w:rPr>
          <w:t xml:space="preserve">https://doi.org/10.2307/3676349</w:t>
        </w:r>
      </w:hyperlink>
    </w:p>
    <w:bookmarkEnd w:id="21"/>
    <w:bookmarkStart w:id="23"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2">
        <w:r>
          <w:rPr>
            <w:rStyle w:val="Hyperlink"/>
          </w:rPr>
          <w:t xml:space="preserve">https://doi.org/10.1002/wlb3.01546</w:t>
        </w:r>
      </w:hyperlink>
    </w:p>
    <w:bookmarkEnd w:id="23"/>
    <w:bookmarkStart w:id="25" w:name="X5001aa68545cec2af7068c5799e4bc0a6cad2bc"/>
    <w:p>
      <w:pPr>
        <w:pStyle w:val="Bibliography"/>
      </w:pPr>
      <w:r>
        <w:t xml:space="preserve">Ausems, A. N. M. A., &amp; Jensen, J.-K. (2026).</w:t>
      </w:r>
      <w:r>
        <w:t xml:space="preserve"> </w:t>
      </w:r>
      <w:r>
        <w:rPr>
          <w:i/>
          <w:iCs/>
        </w:rPr>
        <w:t xml:space="preserve">Puffin_female_harvest: Code and data for ’</w:t>
      </w:r>
      <w:r>
        <w:rPr>
          <w:i/>
          <w:iCs/>
        </w:rPr>
        <w:t xml:space="preserve">Pre</w:t>
      </w:r>
      <w:r>
        <w:rPr>
          <w:i/>
          <w:iCs/>
        </w:rPr>
        <w:t xml:space="preserve">-breeding</w:t>
      </w:r>
      <w:r>
        <w:rPr>
          <w:i/>
          <w:iCs/>
        </w:rPr>
        <w:t xml:space="preserve"> </w:t>
      </w:r>
      <w:r>
        <w:rPr>
          <w:i/>
          <w:iCs/>
        </w:rPr>
        <w:t xml:space="preserve">Atlantic</w:t>
      </w:r>
      <w:r>
        <w:rPr>
          <w:i/>
          <w:iCs/>
        </w:rPr>
        <w:t xml:space="preserve"> </w:t>
      </w:r>
      <w:r>
        <w:rPr>
          <w:i/>
          <w:iCs/>
        </w:rPr>
        <w:t xml:space="preserve">puffins (</w:t>
      </w:r>
      <w:r>
        <w:rPr>
          <w:i/>
          <w:iCs/>
        </w:rPr>
        <w:t xml:space="preserve">Fratercula</w:t>
      </w:r>
      <w:r>
        <w:rPr>
          <w:i/>
          <w:iCs/>
        </w:rPr>
        <w:t xml:space="preserve"> </w:t>
      </w:r>
      <w:r>
        <w:rPr>
          <w:i/>
          <w:iCs/>
        </w:rPr>
        <w:t xml:space="preserve">arctica) 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v1.0.0) [Dataset]. Zenodo.</w:t>
      </w:r>
      <w:r>
        <w:t xml:space="preserve"> </w:t>
      </w:r>
      <w:hyperlink r:id="rId24">
        <w:r>
          <w:rPr>
            <w:rStyle w:val="Hyperlink"/>
          </w:rPr>
          <w:t xml:space="preserve">https://doi.org/10.5281/ZENODO.21780561</w:t>
        </w:r>
      </w:hyperlink>
    </w:p>
    <w:bookmarkEnd w:id="25"/>
    <w:bookmarkStart w:id="27"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26">
        <w:r>
          <w:rPr>
            <w:rStyle w:val="Hyperlink"/>
          </w:rPr>
          <w:t xml:space="preserve">https://doi.org/10.2307/1365062</w:t>
        </w:r>
      </w:hyperlink>
    </w:p>
    <w:bookmarkEnd w:id="27"/>
    <w:bookmarkStart w:id="29"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8">
        <w:r>
          <w:rPr>
            <w:rStyle w:val="Hyperlink"/>
          </w:rPr>
          <w:t xml:space="preserve">https://doi.org/10.2305/IUCN.UK.2018-2.RLTS.T22694927A132581443.en</w:t>
        </w:r>
      </w:hyperlink>
    </w:p>
    <w:bookmarkEnd w:id="29"/>
    <w:bookmarkStart w:id="31"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30">
        <w:r>
          <w:rPr>
            <w:rStyle w:val="Hyperlink"/>
          </w:rPr>
          <w:t xml:space="preserve">https://datazone.birdlife.org/species/factsheet/atlantic-puffin-fratercula-arctica</w:t>
        </w:r>
      </w:hyperlink>
    </w:p>
    <w:bookmarkEnd w:id="31"/>
    <w:bookmarkStart w:id="33"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32">
        <w:r>
          <w:rPr>
            <w:rStyle w:val="Hyperlink"/>
          </w:rPr>
          <w:t xml:space="preserve">https://doi.org/10.18637/jss.v080.i01</w:t>
        </w:r>
      </w:hyperlink>
    </w:p>
    <w:bookmarkEnd w:id="33"/>
    <w:bookmarkStart w:id="35"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4">
        <w:r>
          <w:rPr>
            <w:rStyle w:val="Hyperlink"/>
          </w:rPr>
          <w:t xml:space="preserve">https://doi.org/10.1002/ecs2.1283</w:t>
        </w:r>
      </w:hyperlink>
    </w:p>
    <w:bookmarkEnd w:id="35"/>
    <w:bookmarkStart w:id="37"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6">
        <w:r>
          <w:rPr>
            <w:rStyle w:val="Hyperlink"/>
          </w:rPr>
          <w:t xml:space="preserve">https://doi.org/10.1016/j.cub.2021.06.059</w:t>
        </w:r>
      </w:hyperlink>
    </w:p>
    <w:bookmarkEnd w:id="37"/>
    <w:bookmarkStart w:id="39"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8">
        <w:r>
          <w:rPr>
            <w:rStyle w:val="Hyperlink"/>
          </w:rPr>
          <w:t xml:space="preserve">https://doi.org/10.1016/j.biocon.2019.06.033</w:t>
        </w:r>
      </w:hyperlink>
    </w:p>
    <w:bookmarkEnd w:id="39"/>
    <w:bookmarkStart w:id="41"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40">
        <w:r>
          <w:rPr>
            <w:rStyle w:val="Hyperlink"/>
          </w:rPr>
          <w:t xml:space="preserve">https://doi.org/10.1111/j.0030-1299.2004.13119.x</w:t>
        </w:r>
      </w:hyperlink>
    </w:p>
    <w:bookmarkEnd w:id="41"/>
    <w:bookmarkStart w:id="43"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42">
        <w:r>
          <w:rPr>
            <w:rStyle w:val="Hyperlink"/>
          </w:rPr>
          <w:t xml:space="preserve">https://doi.org/10.1111/j.1461-0248.2004.00588.x</w:t>
        </w:r>
      </w:hyperlink>
    </w:p>
    <w:bookmarkEnd w:id="43"/>
    <w:bookmarkStart w:id="44"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44"/>
    <w:bookmarkStart w:id="46"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5">
        <w:r>
          <w:rPr>
            <w:rStyle w:val="Hyperlink"/>
          </w:rPr>
          <w:t xml:space="preserve">https://doi.org/10.1111/rssa.12378</w:t>
        </w:r>
      </w:hyperlink>
    </w:p>
    <w:bookmarkEnd w:id="46"/>
    <w:bookmarkStart w:id="48"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7">
        <w:r>
          <w:rPr>
            <w:rStyle w:val="Hyperlink"/>
          </w:rPr>
          <w:t xml:space="preserve">https://www3.stat.sinica.edu.tw/statistica/j6n4/j6n41/j6n41.htm</w:t>
        </w:r>
      </w:hyperlink>
    </w:p>
    <w:bookmarkEnd w:id="48"/>
    <w:bookmarkStart w:id="49"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9"/>
    <w:bookmarkStart w:id="51"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50">
        <w:r>
          <w:rPr>
            <w:rStyle w:val="Hyperlink"/>
          </w:rPr>
          <w:t xml:space="preserve">https://doi.org/10.1111/j.0030-1299.2005.13351.x</w:t>
        </w:r>
      </w:hyperlink>
    </w:p>
    <w:bookmarkEnd w:id="51"/>
    <w:bookmarkStart w:id="52"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2"/>
    <w:bookmarkStart w:id="53"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3"/>
    <w:bookmarkStart w:id="54"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4"/>
    <w:bookmarkStart w:id="56"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5">
        <w:r>
          <w:rPr>
            <w:rStyle w:val="Hyperlink"/>
          </w:rPr>
          <w:t xml:space="preserve">https://doi.org/10.1002/2688-8319.12390</w:t>
        </w:r>
      </w:hyperlink>
    </w:p>
    <w:bookmarkEnd w:id="56"/>
    <w:bookmarkStart w:id="58"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7">
        <w:r>
          <w:rPr>
            <w:rStyle w:val="Hyperlink"/>
          </w:rPr>
          <w:t xml:space="preserve">https://www.researchgate.net/publication/381954204_Icelandic_puffin_stock_assessments_2024</w:t>
        </w:r>
      </w:hyperlink>
    </w:p>
    <w:bookmarkEnd w:id="58"/>
    <w:bookmarkStart w:id="60"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9">
        <w:r>
          <w:rPr>
            <w:rStyle w:val="Hyperlink"/>
          </w:rPr>
          <w:t xml:space="preserve">https://doi.org/10.1111/j.1469-185X.1971.tb01048.x</w:t>
        </w:r>
      </w:hyperlink>
    </w:p>
    <w:bookmarkEnd w:id="60"/>
    <w:bookmarkStart w:id="61" w:name="Xe19625febeb906ccdb6e58cd53cb47af33dcf28"/>
    <w:p>
      <w:pPr>
        <w:pStyle w:val="Bibliography"/>
      </w:pPr>
      <w:r>
        <w:t xml:space="preserve">Løgtingslóg Um Fuglaveiðu, Sum Seinast Broytt Við Løgtingslóg Nr. 70 Frá 22. Mai 2023 (1984).</w:t>
      </w:r>
    </w:p>
    <w:bookmarkEnd w:id="61"/>
    <w:bookmarkStart w:id="63"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62">
        <w:r>
          <w:rPr>
            <w:rStyle w:val="Hyperlink"/>
          </w:rPr>
          <w:t xml:space="preserve">https://doi.org/10.2173/bow.atlpuf.01</w:t>
        </w:r>
      </w:hyperlink>
    </w:p>
    <w:bookmarkEnd w:id="63"/>
    <w:bookmarkStart w:id="65"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t xml:space="preserve">Fratercula</w:t>
      </w:r>
      <w:r>
        <w:t xml:space="preserve"> </w:t>
      </w:r>
      <w:r>
        <w:t xml:space="preserve">arctica) and</w:t>
      </w:r>
      <w:r>
        <w:t xml:space="preserve"> </w:t>
      </w:r>
      <w:r>
        <w:t xml:space="preserve">Razorbill</w:t>
      </w:r>
      <w:r>
        <w:t xml:space="preserve"> </w:t>
      </w:r>
      <w:r>
        <w:t xml:space="preserve">(</w:t>
      </w:r>
      <w:r>
        <w:t xml:space="preserve">Alca</w:t>
      </w:r>
      <w:r>
        <w:t xml:space="preserve"> </w:t>
      </w:r>
      <w:r>
        <w:t xml:space="preserve">torda)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4">
        <w:r>
          <w:rPr>
            <w:rStyle w:val="Hyperlink"/>
          </w:rPr>
          <w:t xml:space="preserve">https://doi.org/10.1525/elementa.2021.00033</w:t>
        </w:r>
      </w:hyperlink>
    </w:p>
    <w:bookmarkEnd w:id="65"/>
    <w:bookmarkStart w:id="67"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66">
        <w:r>
          <w:rPr>
            <w:rStyle w:val="Hyperlink"/>
          </w:rPr>
          <w:t xml:space="preserve">https://doi.org/10.1675/1524-4695(2003)026[0108:TROBPI]2.0.CO;2</w:t>
        </w:r>
      </w:hyperlink>
    </w:p>
    <w:bookmarkEnd w:id="67"/>
    <w:bookmarkStart w:id="69"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68">
        <w:r>
          <w:rPr>
            <w:rStyle w:val="Hyperlink"/>
          </w:rPr>
          <w:t xml:space="preserve">https://doi.org/10.1371/journal.pone.0131527</w:t>
        </w:r>
      </w:hyperlink>
    </w:p>
    <w:bookmarkEnd w:id="69"/>
    <w:bookmarkStart w:id="71"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0">
        <w:r>
          <w:rPr>
            <w:rStyle w:val="Hyperlink"/>
          </w:rPr>
          <w:t xml:space="preserve">https://www.nature.scot/latest-guga-hunt-statement</w:t>
        </w:r>
      </w:hyperlink>
    </w:p>
    <w:bookmarkEnd w:id="71"/>
    <w:bookmarkStart w:id="73" w:name="ref-papworthEvidenceShiftingBaseline2009"/>
    <w:p>
      <w:pPr>
        <w:pStyle w:val="Bibliography"/>
      </w:pPr>
      <w:r>
        <w:t xml:space="preserve">Papworth, S. K., Rist, J., Coad, L., &amp; Milner‐Gulland, E. J. (2009). Evidence for shifting baseline syndrome in conservation.</w:t>
      </w:r>
      <w:r>
        <w:t xml:space="preserve"> </w:t>
      </w:r>
      <w:r>
        <w:rPr>
          <w:i/>
          <w:iCs/>
        </w:rPr>
        <w:t xml:space="preserve">Conservation Letters</w:t>
      </w:r>
      <w:r>
        <w:t xml:space="preserve">,</w:t>
      </w:r>
      <w:r>
        <w:t xml:space="preserve"> </w:t>
      </w:r>
      <w:r>
        <w:rPr>
          <w:i/>
          <w:iCs/>
        </w:rPr>
        <w:t xml:space="preserve">2</w:t>
      </w:r>
      <w:r>
        <w:t xml:space="preserve">(2), 93–100.</w:t>
      </w:r>
      <w:r>
        <w:t xml:space="preserve"> </w:t>
      </w:r>
      <w:hyperlink r:id="rId72">
        <w:r>
          <w:rPr>
            <w:rStyle w:val="Hyperlink"/>
          </w:rPr>
          <w:t xml:space="preserve">https://doi.org/10.1111/j.1755-263X.2009.00049.x</w:t>
        </w:r>
      </w:hyperlink>
    </w:p>
    <w:bookmarkEnd w:id="73"/>
    <w:bookmarkStart w:id="75" w:name="ref-paulyAnecdotesShiftingBaseline1995"/>
    <w:p>
      <w:pPr>
        <w:pStyle w:val="Bibliography"/>
      </w:pPr>
      <w:r>
        <w:t xml:space="preserve">Pauly, D. (1995). Anecdotes and the shifting baseline syndrome of fisheries.</w:t>
      </w:r>
      <w:r>
        <w:t xml:space="preserve"> </w:t>
      </w:r>
      <w:r>
        <w:rPr>
          <w:i/>
          <w:iCs/>
        </w:rPr>
        <w:t xml:space="preserve">Trends in Ecology &amp; Evolution</w:t>
      </w:r>
      <w:r>
        <w:t xml:space="preserve">,</w:t>
      </w:r>
      <w:r>
        <w:t xml:space="preserve"> </w:t>
      </w:r>
      <w:r>
        <w:rPr>
          <w:i/>
          <w:iCs/>
        </w:rPr>
        <w:t xml:space="preserve">10</w:t>
      </w:r>
      <w:r>
        <w:t xml:space="preserve">(10), 430.</w:t>
      </w:r>
      <w:r>
        <w:t xml:space="preserve"> </w:t>
      </w:r>
      <w:hyperlink r:id="rId74">
        <w:r>
          <w:rPr>
            <w:rStyle w:val="Hyperlink"/>
          </w:rPr>
          <w:t xml:space="preserve">https://doi.org/10.1016/S0169-5347(00)89171-5</w:t>
        </w:r>
      </w:hyperlink>
    </w:p>
    <w:bookmarkEnd w:id="75"/>
    <w:bookmarkStart w:id="77"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6">
        <w:r>
          <w:rPr>
            <w:rStyle w:val="Hyperlink"/>
          </w:rPr>
          <w:t xml:space="preserve">https://doi.org/10.32614/R.manuals</w:t>
        </w:r>
      </w:hyperlink>
    </w:p>
    <w:bookmarkEnd w:id="77"/>
    <w:bookmarkStart w:id="79" w:name="X15453a87abea435588d2bae03c6c13b76a862f1"/>
    <w:p>
      <w:pPr>
        <w:pStyle w:val="Bibliography"/>
      </w:pPr>
      <w:r>
        <w:t xml:space="preserve">Sáenz-Arroyo, A., Roberts, C., Torre, J., Cariño-Olvera, M., &amp; Enríquez-Andrade, R. (2005). Rapidly shifting environmental baselines among fishers of the</w:t>
      </w:r>
      <w:r>
        <w:t xml:space="preserve"> </w:t>
      </w:r>
      <w:r>
        <w:t xml:space="preserve">Gulf</w:t>
      </w:r>
      <w:r>
        <w:t xml:space="preserve"> </w:t>
      </w:r>
      <w:r>
        <w:t xml:space="preserve">of</w:t>
      </w:r>
      <w:r>
        <w:t xml:space="preserve"> </w:t>
      </w:r>
      <w:r>
        <w:t xml:space="preserve">California</w:t>
      </w:r>
      <w:r>
        <w:t xml:space="preserve">.</w:t>
      </w:r>
      <w:r>
        <w:t xml:space="preserve"> </w:t>
      </w:r>
      <w:r>
        <w:rPr>
          <w:i/>
          <w:iCs/>
        </w:rPr>
        <w:t xml:space="preserve">Proceedings of the Royal Society B: Biological Sciences</w:t>
      </w:r>
      <w:r>
        <w:t xml:space="preserve">,</w:t>
      </w:r>
      <w:r>
        <w:t xml:space="preserve"> </w:t>
      </w:r>
      <w:r>
        <w:rPr>
          <w:i/>
          <w:iCs/>
        </w:rPr>
        <w:t xml:space="preserve">272</w:t>
      </w:r>
      <w:r>
        <w:t xml:space="preserve">(1575), 1957–1962.</w:t>
      </w:r>
      <w:r>
        <w:t xml:space="preserve"> </w:t>
      </w:r>
      <w:hyperlink r:id="rId78">
        <w:r>
          <w:rPr>
            <w:rStyle w:val="Hyperlink"/>
          </w:rPr>
          <w:t xml:space="preserve">https://doi.org/10.1098/rspb.2005.3175</w:t>
        </w:r>
      </w:hyperlink>
    </w:p>
    <w:bookmarkEnd w:id="79"/>
    <w:bookmarkStart w:id="80"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80"/>
    <w:bookmarkStart w:id="81" w:name="X55573da4300cacfc7ebb0f912cf4312ab59c11a"/>
    <w:p>
      <w:pPr>
        <w:pStyle w:val="Bibliography"/>
      </w:pPr>
      <w:r>
        <w:t xml:space="preserve">Stempniewicz, L., &amp; Jensen, J. K. (2007). Puffin harvesting and survival at</w:t>
      </w:r>
      <w:r>
        <w:t xml:space="preserve"> </w:t>
      </w:r>
      <w:r>
        <w:t xml:space="preserve">Nólsoy</w:t>
      </w:r>
      <w:r>
        <w:t xml:space="preserve">, the</w:t>
      </w:r>
      <w:r>
        <w:t xml:space="preserve"> </w:t>
      </w:r>
      <w:r>
        <w:t xml:space="preserve">Faeroes</w:t>
      </w:r>
      <w:r>
        <w:t xml:space="preserve">.</w:t>
      </w:r>
      <w:r>
        <w:t xml:space="preserve"> </w:t>
      </w:r>
      <w:r>
        <w:rPr>
          <w:i/>
          <w:iCs/>
        </w:rPr>
        <w:t xml:space="preserve">Ornis Svecica</w:t>
      </w:r>
      <w:r>
        <w:t xml:space="preserve">,</w:t>
      </w:r>
      <w:r>
        <w:t xml:space="preserve"> </w:t>
      </w:r>
      <w:r>
        <w:rPr>
          <w:i/>
          <w:iCs/>
        </w:rPr>
        <w:t xml:space="preserve">17</w:t>
      </w:r>
      <w:r>
        <w:t xml:space="preserve">(672), 95–99.</w:t>
      </w:r>
    </w:p>
    <w:bookmarkEnd w:id="81"/>
    <w:bookmarkStart w:id="83"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82">
        <w:r>
          <w:rPr>
            <w:rStyle w:val="Hyperlink"/>
          </w:rPr>
          <w:t xml:space="preserve">https://doi.org/10.1002/fee.70049</w:t>
        </w:r>
      </w:hyperlink>
    </w:p>
    <w:bookmarkEnd w:id="83"/>
    <w:bookmarkStart w:id="85"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84">
        <w:r>
          <w:rPr>
            <w:rStyle w:val="Hyperlink"/>
          </w:rPr>
          <w:t xml:space="preserve">https://edepot.wur.nl/40451</w:t>
        </w:r>
      </w:hyperlink>
    </w:p>
    <w:bookmarkEnd w:id="85"/>
    <w:bookmarkStart w:id="87"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86">
        <w:r>
          <w:rPr>
            <w:rStyle w:val="Hyperlink"/>
          </w:rPr>
          <w:t xml:space="preserve">https://doi.org/10.1007/s11222-016-9696-4</w:t>
        </w:r>
      </w:hyperlink>
    </w:p>
    <w:bookmarkEnd w:id="87"/>
    <w:bookmarkStart w:id="89"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88">
        <w:r>
          <w:rPr>
            <w:rStyle w:val="Hyperlink"/>
          </w:rPr>
          <w:t xml:space="preserve">https://doi.org/10.1214/20-BA1221</w:t>
        </w:r>
      </w:hyperlink>
    </w:p>
    <w:bookmarkEnd w:id="89"/>
    <w:bookmarkStart w:id="90"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90"/>
    <w:bookmarkEnd w:id="91"/>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w:t>
      </w:r>
      <w:r>
        <w:t xml:space="preserve"> </w:t>
      </w:r>
      <w:r>
        <w:rPr>
          <w:i/>
          <w:iCs/>
        </w:rPr>
        <w:t xml:space="preserve">Fratercula arctica</w:t>
      </w:r>
      <w:r>
        <w:t xml:space="preserve"> </w:t>
      </w:r>
      <w:r>
        <w:t xml:space="preserve">of confirmed breeding age in Føroyar. Bars show the observed percentage of females of confirmed breeding age in each year’s sample. The solid line shows the estimate from a Bayesian generalised linear model and the shaded band shows the 95% credible interval. The line is averaged over each year’s own observed brood patch composition, making it directly comparable to the bars; it therefore differs from the values standardised to the average brood patch composition across all years given in the text.</w:t>
      </w:r>
    </w:p>
    <w:p>
      <w:pPr>
        <w:pStyle w:val="BodyText"/>
      </w:pPr>
      <w:r>
        <w:t xml:space="preserve">Fig. 3. Temporal change in the probability of harvesting female Atlantic Puffins</w:t>
      </w:r>
      <w:r>
        <w:t xml:space="preserve"> </w:t>
      </w:r>
      <w:r>
        <w:rPr>
          <w:i/>
          <w:iCs/>
        </w:rPr>
        <w:t xml:space="preserve">Fratercula arctica</w:t>
      </w:r>
      <w:r>
        <w:t xml:space="preserve"> </w:t>
      </w:r>
      <w:r>
        <w:t xml:space="preserve">of confirmed breeding age in Føroyar, with or without brood patches. Points show the observed proportion of females of confirmed breeding age per year in each brood patch group, with point size scaled to the number of females in that group (</w:t>
      </w:r>
      <w:r>
        <w:rPr>
          <w:i/>
          <w:iCs/>
        </w:rPr>
        <w:t xml:space="preserve">n</w:t>
      </w:r>
      <w:r>
        <w:t xml:space="preserve">). The solid lines show the estimates from a Bayesian generalised linear model and the shaded band shows the 95% credible intervals.</w:t>
      </w:r>
    </w:p>
    <w:p>
      <w:pPr>
        <w:pStyle w:val="BodyText"/>
      </w:pPr>
      <w:r>
        <w:t xml:space="preserve">Fig. 4. Temporal change in brood patch presence in female Atlantic Puffins</w:t>
      </w:r>
      <w:r>
        <w:t xml:space="preserve"> </w:t>
      </w:r>
      <w:r>
        <w:rPr>
          <w:i/>
          <w:iCs/>
        </w:rPr>
        <w:t xml:space="preserve">Fratercula arctica</w:t>
      </w:r>
      <w:r>
        <w:t xml:space="preserve"> </w:t>
      </w:r>
      <w:r>
        <w:t xml:space="preserve">of confirmed breeding age harvested in Føroyar. Points show the observed proportion of females of confirmed breeding age with a brood patch per year, with point size scaled to the number of females of confirmed breeding age sampled that year (</w:t>
      </w:r>
      <w:r>
        <w:rPr>
          <w:i/>
          <w:iCs/>
        </w:rPr>
        <w:t xml:space="preserve">n</w:t>
      </w:r>
      <w:r>
        <w:t xml:space="preserve">).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96" w:name="fig-map"/>
          <w:p>
            <w:pPr>
              <w:pStyle w:val="Compact"/>
              <w:jc w:val="center"/>
            </w:pPr>
            <w:bookmarkStart w:id="95" w:name="fig-map"/>
            <w:r>
              <w:drawing>
                <wp:inline>
                  <wp:extent cx="5943600" cy="6028508"/>
                  <wp:effectExtent b="0" l="0" r="0" t="0"/>
                  <wp:docPr descr="" title="" id="93" name="Picture"/>
                  <a:graphic>
                    <a:graphicData uri="http://schemas.openxmlformats.org/drawingml/2006/picture">
                      <pic:pic>
                        <pic:nvPicPr>
                          <pic:cNvPr descr="manuscript_files/figure-docx/fig-map-1.png" id="94" name="Picture"/>
                          <pic:cNvPicPr>
                            <a:picLocks noChangeArrowheads="1" noChangeAspect="1"/>
                          </pic:cNvPicPr>
                        </pic:nvPicPr>
                        <pic:blipFill>
                          <a:blip r:embed="rId92"/>
                          <a:stretch>
                            <a:fillRect/>
                          </a:stretch>
                        </pic:blipFill>
                        <pic:spPr bwMode="auto">
                          <a:xfrm>
                            <a:off x="0" y="0"/>
                            <a:ext cx="5943600" cy="6028508"/>
                          </a:xfrm>
                          <a:prstGeom prst="rect">
                            <a:avLst/>
                          </a:prstGeom>
                          <a:noFill/>
                          <a:ln w="9525">
                            <a:noFill/>
                            <a:headEnd/>
                            <a:tailEnd/>
                          </a:ln>
                        </pic:spPr>
                      </pic:pic>
                    </a:graphicData>
                  </a:graphic>
                </wp:inline>
              </w:drawing>
            </w:r>
            <w:bookmarkEnd w:id="95"/>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1</w:t>
            </w:r>
          </w:p>
          <w:bookmarkEnd w:id="96"/>
        </w:tc>
      </w:tr>
    </w:tbl>
    <w:p>
      <w:r>
        <w:br w:type="page"/>
      </w:r>
    </w:p>
    <w:tbl>
      <w:tblPr>
        <w:tblStyle w:val="Table"/>
        <w:tblW w:type="pct" w:w="5000"/>
        <w:tblLayout w:type="fixed"/>
        <w:tblLook w:firstRow="0" w:lastRow="0" w:firstColumn="0" w:lastColumn="0" w:noHBand="0" w:noVBand="0" w:val="0000"/>
      </w:tblPr>
      <w:tblGrid>
        <w:gridCol w:w="7920"/>
      </w:tblGrid>
      <w:tr>
        <w:tc>
          <w:tcPr/>
          <w:bookmarkStart w:id="101" w:name="fig-marg-bar"/>
          <w:p>
            <w:pPr>
              <w:pStyle w:val="Compact"/>
              <w:jc w:val="center"/>
            </w:pPr>
            <w:bookmarkStart w:id="100" w:name="fig-marg-bar"/>
            <w:r>
              <w:drawing>
                <wp:inline>
                  <wp:extent cx="5943600" cy="4245428"/>
                  <wp:effectExtent b="0" l="0" r="0" t="0"/>
                  <wp:docPr descr="" title="" id="98" name="Picture"/>
                  <a:graphic>
                    <a:graphicData uri="http://schemas.openxmlformats.org/drawingml/2006/picture">
                      <pic:pic>
                        <pic:nvPicPr>
                          <pic:cNvPr descr="manuscript_files/figure-docx/fig-marg-bar-1.png" id="99" name="Picture"/>
                          <pic:cNvPicPr>
                            <a:picLocks noChangeArrowheads="1" noChangeAspect="1"/>
                          </pic:cNvPicPr>
                        </pic:nvPicPr>
                        <pic:blipFill>
                          <a:blip r:embed="rId97"/>
                          <a:stretch>
                            <a:fillRect/>
                          </a:stretch>
                        </pic:blipFill>
                        <pic:spPr bwMode="auto">
                          <a:xfrm>
                            <a:off x="0" y="0"/>
                            <a:ext cx="5943600" cy="4245428"/>
                          </a:xfrm>
                          <a:prstGeom prst="rect">
                            <a:avLst/>
                          </a:prstGeom>
                          <a:noFill/>
                          <a:ln w="9525">
                            <a:noFill/>
                            <a:headEnd/>
                            <a:tailEnd/>
                          </a:ln>
                        </pic:spPr>
                      </pic:pic>
                    </a:graphicData>
                  </a:graphic>
                </wp:inline>
              </w:drawing>
            </w:r>
            <w:bookmarkEnd w:id="100"/>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2</w:t>
            </w:r>
          </w:p>
          <w:bookmarkEnd w:id="101"/>
        </w:tc>
      </w:tr>
    </w:tbl>
    <w:p>
      <w:r>
        <w:br w:type="page"/>
      </w:r>
    </w:p>
    <w:tbl>
      <w:tblPr>
        <w:tblStyle w:val="Table"/>
        <w:tblW w:type="pct" w:w="5000"/>
        <w:tblLayout w:type="fixed"/>
        <w:tblLook w:firstRow="0" w:lastRow="0" w:firstColumn="0" w:lastColumn="0" w:noHBand="0" w:noVBand="0" w:val="0000"/>
      </w:tblPr>
      <w:tblGrid>
        <w:gridCol w:w="7920"/>
      </w:tblGrid>
      <w:tr>
        <w:tc>
          <w:tcPr/>
          <w:bookmarkStart w:id="106" w:name="fig-pred1"/>
          <w:p>
            <w:pPr>
              <w:pStyle w:val="Compact"/>
              <w:jc w:val="center"/>
            </w:pPr>
            <w:bookmarkStart w:id="105" w:name="fig-pred1"/>
            <w:r>
              <w:drawing>
                <wp:inline>
                  <wp:extent cx="5943600" cy="4245428"/>
                  <wp:effectExtent b="0" l="0" r="0" t="0"/>
                  <wp:docPr descr="" title="" id="103" name="Picture"/>
                  <a:graphic>
                    <a:graphicData uri="http://schemas.openxmlformats.org/drawingml/2006/picture">
                      <pic:pic>
                        <pic:nvPicPr>
                          <pic:cNvPr descr="manuscript_files/figure-docx/fig-pred1-1.png" id="104" name="Picture"/>
                          <pic:cNvPicPr>
                            <a:picLocks noChangeArrowheads="1" noChangeAspect="1"/>
                          </pic:cNvPicPr>
                        </pic:nvPicPr>
                        <pic:blipFill>
                          <a:blip r:embed="rId102"/>
                          <a:stretch>
                            <a:fillRect/>
                          </a:stretch>
                        </pic:blipFill>
                        <pic:spPr bwMode="auto">
                          <a:xfrm>
                            <a:off x="0" y="0"/>
                            <a:ext cx="5943600" cy="4245428"/>
                          </a:xfrm>
                          <a:prstGeom prst="rect">
                            <a:avLst/>
                          </a:prstGeom>
                          <a:noFill/>
                          <a:ln w="9525">
                            <a:noFill/>
                            <a:headEnd/>
                            <a:tailEnd/>
                          </a:ln>
                        </pic:spPr>
                      </pic:pic>
                    </a:graphicData>
                  </a:graphic>
                </wp:inline>
              </w:drawing>
            </w:r>
            <w:bookmarkEnd w:id="105"/>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3</w:t>
            </w:r>
          </w:p>
          <w:bookmarkEnd w:id="106"/>
        </w:tc>
      </w:tr>
    </w:tbl>
    <w:p>
      <w:r>
        <w:br w:type="page"/>
      </w:r>
    </w:p>
    <w:tbl>
      <w:tblPr>
        <w:tblStyle w:val="Table"/>
        <w:tblW w:type="pct" w:w="5000"/>
        <w:tblLayout w:type="fixed"/>
        <w:tblLook w:firstRow="0" w:lastRow="0" w:firstColumn="0" w:lastColumn="0" w:noHBand="0" w:noVBand="0" w:val="0000"/>
      </w:tblPr>
      <w:tblGrid>
        <w:gridCol w:w="7920"/>
      </w:tblGrid>
      <w:tr>
        <w:tc>
          <w:tcPr/>
          <w:bookmarkStart w:id="111" w:name="fig-pred2"/>
          <w:p>
            <w:pPr>
              <w:pStyle w:val="Compact"/>
              <w:jc w:val="center"/>
            </w:pPr>
            <w:bookmarkStart w:id="110" w:name="fig-pred2"/>
            <w:r>
              <w:drawing>
                <wp:inline>
                  <wp:extent cx="5943600" cy="4245428"/>
                  <wp:effectExtent b="0" l="0" r="0" t="0"/>
                  <wp:docPr descr="" title="" id="108" name="Picture"/>
                  <a:graphic>
                    <a:graphicData uri="http://schemas.openxmlformats.org/drawingml/2006/picture">
                      <pic:pic>
                        <pic:nvPicPr>
                          <pic:cNvPr descr="manuscript_files/figure-docx/fig-pred2-1.png" id="109" name="Picture"/>
                          <pic:cNvPicPr>
                            <a:picLocks noChangeArrowheads="1" noChangeAspect="1"/>
                          </pic:cNvPicPr>
                        </pic:nvPicPr>
                        <pic:blipFill>
                          <a:blip r:embed="rId107"/>
                          <a:stretch>
                            <a:fillRect/>
                          </a:stretch>
                        </pic:blipFill>
                        <pic:spPr bwMode="auto">
                          <a:xfrm>
                            <a:off x="0" y="0"/>
                            <a:ext cx="5943600" cy="4245428"/>
                          </a:xfrm>
                          <a:prstGeom prst="rect">
                            <a:avLst/>
                          </a:prstGeom>
                          <a:noFill/>
                          <a:ln w="9525">
                            <a:noFill/>
                            <a:headEnd/>
                            <a:tailEnd/>
                          </a:ln>
                        </pic:spPr>
                      </pic:pic>
                    </a:graphicData>
                  </a:graphic>
                </wp:inline>
              </w:drawing>
            </w:r>
            <w:bookmarkEnd w:id="110"/>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w:t>
            </w:r>
            <w:r>
              <w:t xml:space="preserve"> 4</w:t>
            </w:r>
          </w:p>
          <w:bookmarkEnd w:id="111"/>
        </w:tc>
      </w:tr>
    </w:tbl>
    <w:p>
      <w:r>
        <w:br w:type="page"/>
      </w:r>
    </w:p>
    <w:tbl>
      <w:tblPr>
        <w:tblStyle w:val="Table"/>
        <w:tblW w:type="pct" w:w="5000"/>
        <w:tblLayout w:type="fixed"/>
        <w:tblLook w:firstRow="0" w:lastRow="0" w:firstColumn="0" w:lastColumn="0" w:noHBand="0" w:noVBand="0" w:val="0000"/>
      </w:tblPr>
      <w:tblGrid>
        <w:gridCol w:w="7920"/>
      </w:tblGrid>
      <w:tr>
        <w:tc>
          <w:tcPr/>
          <w:bookmarkStart w:id="112" w:name="tbl-harvest"/>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Sampling dates, estimated annual puffin harvest and sample sizes, Nólsoy (1989–2006) and Mykines (2007–2008), Føroyar</w:t>
            </w:r>
          </w:p>
          <w:tbl>
            <w:tblPr>
              <w:tblStyle w:val="Table"/>
              <w:tblW w:type="pct" w:w="5000"/>
              <w:tblLayout w:type="fixed"/>
              <w:tblLook w:firstRow="1" w:lastRow="0" w:firstColumn="0" w:lastColumn="0" w:noHBand="0" w:noVBand="0" w:val="0020"/>
            </w:tblPr>
            <w:tblGrid>
              <w:gridCol w:w="633"/>
              <w:gridCol w:w="1900"/>
              <w:gridCol w:w="1267"/>
              <w:gridCol w:w="1108"/>
              <w:gridCol w:w="1029"/>
              <w:gridCol w:w="1980"/>
            </w:tblGrid>
            <w:tr>
              <w:trPr>
                <w:tblHeader w:val="on"/>
              </w:trPr>
              <w:tc>
                <w:tcPr/>
                <w:p>
                  <w:pPr>
                    <w:pStyle w:val="Compact"/>
                    <w:jc w:val="right"/>
                    <w:jc w:val="center"/>
                  </w:pPr>
                  <w:r>
                    <w:t xml:space="preserve">Year</w:t>
                  </w:r>
                </w:p>
              </w:tc>
              <w:tc>
                <w:tcPr/>
                <w:p>
                  <w:pPr>
                    <w:pStyle w:val="Compact"/>
                    <w:jc w:val="right"/>
                    <w:jc w:val="center"/>
                  </w:pPr>
                  <w:r>
                    <w:t xml:space="preserve">Sampling dates</w:t>
                  </w:r>
                </w:p>
              </w:tc>
              <w:tc>
                <w:tcPr/>
                <w:p>
                  <w:pPr>
                    <w:pStyle w:val="Compact"/>
                    <w:jc w:val="right"/>
                    <w:jc w:val="center"/>
                  </w:pPr>
                  <w:r>
                    <w:t xml:space="preserve">Estimated harvest</w:t>
                  </w:r>
                </w:p>
              </w:tc>
              <w:tc>
                <w:tcPr/>
                <w:p>
                  <w:pPr>
                    <w:pStyle w:val="Compact"/>
                    <w:jc w:val="right"/>
                    <w:jc w:val="center"/>
                  </w:pPr>
                  <w:r>
                    <w:t xml:space="preserve">Sample size</w:t>
                  </w:r>
                  <w:r>
                    <w:rPr>
                      <w:vertAlign w:val="superscript"/>
                    </w:rPr>
                    <w:t xml:space="preserve">a</w:t>
                  </w:r>
                </w:p>
              </w:tc>
              <w:tc>
                <w:tcPr/>
                <w:p>
                  <w:pPr>
                    <w:pStyle w:val="Compact"/>
                    <w:jc w:val="right"/>
                    <w:jc w:val="center"/>
                  </w:pPr>
                  <w:r>
                    <w:t xml:space="preserve">Females</w:t>
                  </w:r>
                  <w:r>
                    <w:rPr>
                      <w:vertAlign w:val="superscript"/>
                    </w:rPr>
                    <w:t xml:space="preserve">a</w:t>
                  </w:r>
                </w:p>
              </w:tc>
              <w:tc>
                <w:tcPr/>
                <w:p>
                  <w:pPr>
                    <w:pStyle w:val="Compact"/>
                    <w:jc w:val="right"/>
                    <w:jc w:val="center"/>
                  </w:pPr>
                  <w:r>
                    <w:t xml:space="preserve">% Confirmed breeding (</w:t>
                  </w:r>
                  <w:r>
                    <w:rPr>
                      <w:i/>
                      <w:iCs/>
                    </w:rPr>
                    <w:t xml:space="preserve">n</w:t>
                  </w:r>
                  <w:r>
                    <w:t xml:space="preserve">)</w:t>
                  </w:r>
                  <w:r>
                    <w:rPr>
                      <w:vertAlign w:val="superscript"/>
                    </w:rPr>
                    <w:t xml:space="preserve">b</w:t>
                  </w:r>
                </w:p>
              </w:tc>
            </w:tr>
            <w:tr>
              <w:tc>
                <w:tcPr/>
                <w:p>
                  <w:pPr>
                    <w:pStyle w:val="Compact"/>
                    <w:jc w:val="right"/>
                    <w:jc w:val="center"/>
                  </w:pPr>
                  <w:r>
                    <w:t xml:space="preserve">1989</w:t>
                  </w:r>
                </w:p>
              </w:tc>
              <w:tc>
                <w:tcPr/>
                <w:p>
                  <w:pPr>
                    <w:pStyle w:val="Compact"/>
                    <w:jc w:val="right"/>
                    <w:jc w:val="center"/>
                  </w:pPr>
                  <w:r>
                    <w:t xml:space="preserve">05 July–27 July</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1990</w:t>
                  </w:r>
                </w:p>
              </w:tc>
              <w:tc>
                <w:tcPr/>
                <w:p>
                  <w:pPr>
                    <w:pStyle w:val="Compact"/>
                    <w:jc w:val="right"/>
                    <w:jc w:val="center"/>
                  </w:pPr>
                  <w:r>
                    <w:t xml:space="preserve">04 July–10 July</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1991</w:t>
                  </w:r>
                </w:p>
              </w:tc>
              <w:tc>
                <w:tcPr/>
                <w:p>
                  <w:pPr>
                    <w:pStyle w:val="Compact"/>
                    <w:jc w:val="right"/>
                    <w:jc w:val="center"/>
                  </w:pPr>
                  <w:r>
                    <w:t xml:space="preserve">06 July–09 August</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1992</w:t>
                  </w:r>
                </w:p>
              </w:tc>
              <w:tc>
                <w:tcPr/>
                <w:p>
                  <w:pPr>
                    <w:pStyle w:val="Compact"/>
                    <w:jc w:val="right"/>
                    <w:jc w:val="center"/>
                  </w:pPr>
                  <w:r>
                    <w:t xml:space="preserve">02 July–15 August</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1993</w:t>
                  </w:r>
                </w:p>
              </w:tc>
              <w:tc>
                <w:tcPr/>
                <w:p>
                  <w:pPr>
                    <w:pStyle w:val="Compact"/>
                    <w:jc w:val="right"/>
                    <w:jc w:val="center"/>
                  </w:pPr>
                  <w:r>
                    <w:t xml:space="preserve">05 July–05 August</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1994</w:t>
                  </w:r>
                </w:p>
              </w:tc>
              <w:tc>
                <w:tcPr/>
                <w:p>
                  <w:pPr>
                    <w:pStyle w:val="Compact"/>
                    <w:jc w:val="right"/>
                    <w:jc w:val="center"/>
                  </w:pPr>
                  <w:r>
                    <w:t xml:space="preserve">06 July–29 July</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1995</w:t>
                  </w:r>
                </w:p>
              </w:tc>
              <w:tc>
                <w:tcPr/>
                <w:p>
                  <w:pPr>
                    <w:pStyle w:val="Compact"/>
                    <w:jc w:val="right"/>
                    <w:jc w:val="center"/>
                  </w:pPr>
                  <w:r>
                    <w:t xml:space="preserve">04 July–07 August</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right"/>
                    <w:jc w:val="center"/>
                  </w:pPr>
                  <w:r>
                    <w:t xml:space="preserve">17% (31)</w:t>
                  </w:r>
                </w:p>
              </w:tc>
            </w:tr>
            <w:tr>
              <w:tc>
                <w:tcPr/>
                <w:p>
                  <w:pPr>
                    <w:pStyle w:val="Compact"/>
                    <w:jc w:val="right"/>
                    <w:jc w:val="center"/>
                  </w:pPr>
                  <w:r>
                    <w:t xml:space="preserve">1996</w:t>
                  </w:r>
                </w:p>
              </w:tc>
              <w:tc>
                <w:tcPr/>
                <w:p>
                  <w:pPr>
                    <w:pStyle w:val="Compact"/>
                    <w:jc w:val="right"/>
                    <w:jc w:val="center"/>
                  </w:pPr>
                  <w:r>
                    <w:t xml:space="preserve">02 July–01 August</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right"/>
                    <w:jc w:val="center"/>
                  </w:pPr>
                  <w:r>
                    <w:t xml:space="preserve">7% (13)</w:t>
                  </w:r>
                </w:p>
              </w:tc>
            </w:tr>
            <w:tr>
              <w:tc>
                <w:tcPr/>
                <w:p>
                  <w:pPr>
                    <w:pStyle w:val="Compact"/>
                    <w:jc w:val="right"/>
                    <w:jc w:val="center"/>
                  </w:pPr>
                  <w:r>
                    <w:t xml:space="preserve">1997</w:t>
                  </w:r>
                </w:p>
              </w:tc>
              <w:tc>
                <w:tcPr/>
                <w:p>
                  <w:pPr>
                    <w:pStyle w:val="Compact"/>
                    <w:jc w:val="right"/>
                    <w:jc w:val="center"/>
                  </w:pPr>
                  <w:r>
                    <w:t xml:space="preserve">02 July–16 August</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right"/>
                    <w:jc w:val="center"/>
                  </w:pPr>
                  <w:r>
                    <w:t xml:space="preserve">14% (27)</w:t>
                  </w:r>
                </w:p>
              </w:tc>
            </w:tr>
            <w:tr>
              <w:tc>
                <w:tcPr/>
                <w:p>
                  <w:pPr>
                    <w:pStyle w:val="Compact"/>
                    <w:jc w:val="right"/>
                    <w:jc w:val="center"/>
                  </w:pPr>
                  <w:r>
                    <w:t xml:space="preserve">1998</w:t>
                  </w:r>
                </w:p>
              </w:tc>
              <w:tc>
                <w:tcPr/>
                <w:p>
                  <w:pPr>
                    <w:pStyle w:val="Compact"/>
                    <w:jc w:val="right"/>
                    <w:jc w:val="center"/>
                  </w:pPr>
                  <w:r>
                    <w:t xml:space="preserve">02 July–11 August</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right"/>
                    <w:jc w:val="center"/>
                  </w:pPr>
                  <w:r>
                    <w:t xml:space="preserve">18% (40)</w:t>
                  </w:r>
                </w:p>
              </w:tc>
            </w:tr>
            <w:tr>
              <w:tc>
                <w:tcPr/>
                <w:p>
                  <w:pPr>
                    <w:pStyle w:val="Compact"/>
                    <w:jc w:val="right"/>
                    <w:jc w:val="center"/>
                  </w:pPr>
                  <w:r>
                    <w:t xml:space="preserve">1999</w:t>
                  </w:r>
                </w:p>
              </w:tc>
              <w:tc>
                <w:tcPr/>
                <w:p>
                  <w:pPr>
                    <w:pStyle w:val="Compact"/>
                    <w:jc w:val="right"/>
                    <w:jc w:val="center"/>
                  </w:pPr>
                  <w:r>
                    <w:t xml:space="preserve">02 July–05 August</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right"/>
                    <w:jc w:val="center"/>
                  </w:pPr>
                  <w:r>
                    <w:t xml:space="preserve">28% (53)</w:t>
                  </w:r>
                </w:p>
              </w:tc>
            </w:tr>
            <w:tr>
              <w:tc>
                <w:tcPr/>
                <w:p>
                  <w:pPr>
                    <w:pStyle w:val="Compact"/>
                    <w:jc w:val="right"/>
                    <w:jc w:val="center"/>
                  </w:pPr>
                  <w:r>
                    <w:t xml:space="preserve">2000</w:t>
                  </w:r>
                </w:p>
              </w:tc>
              <w:tc>
                <w:tcPr/>
                <w:p>
                  <w:pPr>
                    <w:pStyle w:val="Compact"/>
                    <w:jc w:val="right"/>
                    <w:jc w:val="center"/>
                  </w:pPr>
                  <w:r>
                    <w:t xml:space="preserve">03 July–02 August</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right"/>
                    <w:jc w:val="center"/>
                  </w:pPr>
                  <w:r>
                    <w:t xml:space="preserve">35% (74)</w:t>
                  </w:r>
                </w:p>
              </w:tc>
            </w:tr>
            <w:tr>
              <w:tc>
                <w:tcPr/>
                <w:p>
                  <w:pPr>
                    <w:pStyle w:val="Compact"/>
                    <w:jc w:val="right"/>
                    <w:jc w:val="center"/>
                  </w:pPr>
                  <w:r>
                    <w:t xml:space="preserve">2001</w:t>
                  </w:r>
                </w:p>
              </w:tc>
              <w:tc>
                <w:tcPr/>
                <w:p>
                  <w:pPr>
                    <w:pStyle w:val="Compact"/>
                    <w:jc w:val="right"/>
                    <w:jc w:val="center"/>
                  </w:pPr>
                  <w:r>
                    <w:t xml:space="preserve">02 July–03 August</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right"/>
                    <w:jc w:val="center"/>
                  </w:pPr>
                  <w:r>
                    <w:t xml:space="preserve">13% (23)</w:t>
                  </w:r>
                </w:p>
              </w:tc>
            </w:tr>
            <w:tr>
              <w:tc>
                <w:tcPr/>
                <w:p>
                  <w:pPr>
                    <w:pStyle w:val="Compact"/>
                    <w:jc w:val="right"/>
                    <w:jc w:val="center"/>
                  </w:pPr>
                  <w:r>
                    <w:t xml:space="preserve">2002</w:t>
                  </w:r>
                </w:p>
              </w:tc>
              <w:tc>
                <w:tcPr/>
                <w:p>
                  <w:pPr>
                    <w:pStyle w:val="Compact"/>
                    <w:jc w:val="right"/>
                    <w:jc w:val="center"/>
                  </w:pPr>
                  <w:r>
                    <w:t xml:space="preserve">02 July–03 August</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right"/>
                    <w:jc w:val="center"/>
                  </w:pPr>
                  <w:r>
                    <w:t xml:space="preserve">13% (23)</w:t>
                  </w:r>
                </w:p>
              </w:tc>
            </w:tr>
            <w:tr>
              <w:tc>
                <w:tcPr/>
                <w:p>
                  <w:pPr>
                    <w:pStyle w:val="Compact"/>
                    <w:jc w:val="right"/>
                    <w:jc w:val="center"/>
                  </w:pPr>
                  <w:r>
                    <w:t xml:space="preserve">2003</w:t>
                  </w:r>
                </w:p>
              </w:tc>
              <w:tc>
                <w:tcPr/>
                <w:p>
                  <w:pPr>
                    <w:pStyle w:val="Compact"/>
                    <w:jc w:val="right"/>
                    <w:jc w:val="center"/>
                  </w:pPr>
                  <w:r>
                    <w:t xml:space="preserve">02 July–17 July</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right"/>
                    <w:jc w:val="center"/>
                  </w:pPr>
                  <w:r>
                    <w:t xml:space="preserve">18% (18)</w:t>
                  </w:r>
                </w:p>
              </w:tc>
            </w:tr>
            <w:tr>
              <w:tc>
                <w:tcPr/>
                <w:p>
                  <w:pPr>
                    <w:pStyle w:val="Compact"/>
                    <w:jc w:val="right"/>
                    <w:jc w:val="center"/>
                  </w:pPr>
                  <w:r>
                    <w:t xml:space="preserve">2004</w:t>
                  </w:r>
                </w:p>
              </w:tc>
              <w:tc>
                <w:tcPr/>
                <w:p>
                  <w:pPr>
                    <w:pStyle w:val="Compact"/>
                    <w:jc w:val="right"/>
                    <w:jc w:val="center"/>
                  </w:pPr>
                  <w:r>
                    <w:t xml:space="preserve">02 July–26 July</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right"/>
                    <w:jc w:val="center"/>
                  </w:pPr>
                  <w:r>
                    <w:t xml:space="preserve">23% (33)</w:t>
                  </w:r>
                </w:p>
              </w:tc>
            </w:tr>
            <w:tr>
              <w:tc>
                <w:tcPr/>
                <w:p>
                  <w:pPr>
                    <w:pStyle w:val="Compact"/>
                    <w:jc w:val="right"/>
                    <w:jc w:val="center"/>
                  </w:pPr>
                  <w:r>
                    <w:t xml:space="preserve">2005</w:t>
                  </w:r>
                </w:p>
              </w:tc>
              <w:tc>
                <w:tcPr/>
                <w:p>
                  <w:pPr>
                    <w:pStyle w:val="Compact"/>
                    <w:jc w:val="right"/>
                    <w:jc w:val="center"/>
                  </w:pPr>
                  <w:r>
                    <w:t xml:space="preserve">06 July–08 August</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right"/>
                    <w:jc w:val="center"/>
                  </w:pPr>
                  <w:r>
                    <w:t xml:space="preserve">42% (36)</w:t>
                  </w:r>
                </w:p>
              </w:tc>
            </w:tr>
            <w:tr>
              <w:tc>
                <w:tcPr/>
                <w:p>
                  <w:pPr>
                    <w:pStyle w:val="Compact"/>
                    <w:jc w:val="right"/>
                    <w:jc w:val="center"/>
                  </w:pPr>
                  <w:r>
                    <w:t xml:space="preserve">2006</w:t>
                  </w:r>
                </w:p>
              </w:tc>
              <w:tc>
                <w:tcPr/>
                <w:p>
                  <w:pPr>
                    <w:pStyle w:val="Compact"/>
                    <w:jc w:val="right"/>
                    <w:jc w:val="center"/>
                  </w:pPr>
                  <w:r>
                    <w:rPr>
                      <w:b/>
                      <w:color w:val="FF0000"/>
                    </w:rPr>
                    <w:t xml:space="preserve">08 June</w:t>
                  </w:r>
                  <w:r>
                    <w:t xml:space="preserve">–09 August</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right"/>
                    <w:jc w:val="center"/>
                  </w:pPr>
                  <w:r>
                    <w:t xml:space="preserve">66% (49)</w:t>
                  </w:r>
                </w:p>
              </w:tc>
            </w:tr>
            <w:tr>
              <w:tc>
                <w:tcPr/>
                <w:p>
                  <w:pPr>
                    <w:pStyle w:val="Compact"/>
                    <w:jc w:val="right"/>
                    <w:jc w:val="center"/>
                  </w:pPr>
                  <w:r>
                    <w:t xml:space="preserve">2007</w:t>
                  </w:r>
                </w:p>
              </w:tc>
              <w:tc>
                <w:tcPr/>
                <w:p>
                  <w:pPr>
                    <w:pStyle w:val="Compact"/>
                    <w:jc w:val="right"/>
                    <w:jc w:val="center"/>
                  </w:pPr>
                  <w:r>
                    <w:t xml:space="preserve">12 July</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40% (2)</w:t>
                  </w:r>
                </w:p>
              </w:tc>
            </w:tr>
            <w:tr>
              <w:tc>
                <w:tcPr>
                  <w:tcBorders>
                    <w:bottom w:val="single" w:sz="4" w:space="0" w:color="auto"/>
                  </w:tcBorders>
                </w:tcPr>
                <w:p>
                  <w:pPr>
                    <w:pStyle w:val="Compact"/>
                    <w:jc w:val="right"/>
                    <w:jc w:val="center"/>
                  </w:pPr>
                  <w:r>
                    <w:t xml:space="preserve">2008</w:t>
                  </w:r>
                </w:p>
              </w:tc>
              <w:tc>
                <w:tcPr>
                  <w:tcBorders>
                    <w:bottom w:val="single" w:sz="4" w:space="0" w:color="auto"/>
                  </w:tcBorders>
                </w:tcPr>
                <w:p>
                  <w:pPr>
                    <w:pStyle w:val="Compact"/>
                    <w:jc w:val="right"/>
                    <w:jc w:val="center"/>
                  </w:pPr>
                  <w:r>
                    <w:t xml:space="preserve">10 July–26 July</w:t>
                  </w:r>
                </w:p>
              </w:tc>
              <w:tc>
                <w:tcPr>
                  <w:tcBorders>
                    <w:bottom w:val="single" w:sz="4" w:space="0" w:color="auto"/>
                  </w:tcBorders>
                </w:tcPr>
                <w:p>
                  <w:pPr>
                    <w:pStyle w:val="Compact"/>
                    <w:jc w:val="right"/>
                    <w:jc w:val="center"/>
                  </w:pPr>
                  <w:r>
                    <w:t xml:space="preserve">335</w:t>
                  </w:r>
                </w:p>
              </w:tc>
              <w:tc>
                <w:tcPr>
                  <w:tcBorders>
                    <w:bottom w:val="single" w:sz="4" w:space="0" w:color="auto"/>
                  </w:tcBorders>
                </w:tcPr>
                <w:p>
                  <w:pPr>
                    <w:pStyle w:val="Compact"/>
                    <w:jc w:val="right"/>
                    <w:jc w:val="center"/>
                  </w:pPr>
                  <w:r>
                    <w:t xml:space="preserve">140</w:t>
                  </w:r>
                </w:p>
              </w:tc>
              <w:tc>
                <w:tcPr>
                  <w:tcBorders>
                    <w:bottom w:val="single" w:sz="4" w:space="0" w:color="auto"/>
                  </w:tcBorders>
                </w:tcPr>
                <w:p>
                  <w:pPr>
                    <w:pStyle w:val="Compact"/>
                    <w:jc w:val="right"/>
                    <w:jc w:val="center"/>
                  </w:pPr>
                  <w:r>
                    <w:t xml:space="preserve">60</w:t>
                  </w:r>
                </w:p>
              </w:tc>
              <w:tc>
                <w:tcPr>
                  <w:tcBorders>
                    <w:bottom w:val="single" w:sz="4" w:space="0" w:color="auto"/>
                  </w:tcBorders>
                </w:tcPr>
                <w:p>
                  <w:pPr>
                    <w:pStyle w:val="Compact"/>
                    <w:jc w:val="right"/>
                    <w:jc w:val="center"/>
                  </w:pPr>
                  <w:r>
                    <w:t xml:space="preserve">78% (47)</w:t>
                  </w:r>
                </w:p>
              </w:tc>
            </w:tr>
          </w:tbl>
          <w:bookmarkEnd w:id="112"/>
          <w:p/>
        </w:tc>
      </w:tr>
    </w:tbl>
    <w:p>
      <w:pPr>
        <w:pStyle w:val="FootnoteText"/>
      </w:pPr>
      <w:r>
        <w:rPr>
          <w:vertAlign w:val="superscript"/>
        </w:rPr>
        <w:t xml:space="preserve">a</w:t>
      </w:r>
      <w:r>
        <w:t xml:space="preserve"> </w:t>
      </w:r>
      <w:r>
        <w:t xml:space="preserve">Sample sizes are presented for the total sample size and the number of females in the sample.</w:t>
      </w:r>
      <w:r>
        <w:br/>
      </w:r>
      <w:r>
        <w:rPr>
          <w:vertAlign w:val="superscript"/>
        </w:rPr>
        <w:t xml:space="preserve">b</w:t>
      </w:r>
      <w:r>
        <w:t xml:space="preserve"> </w:t>
      </w:r>
      <w:r>
        <w:t xml:space="preserve">The percentage of femalesof confirmed breeding age is shown as % (</w:t>
      </w:r>
      <w:r>
        <w:rPr>
          <w:i/>
          <w:iCs/>
        </w:rPr>
        <w:t xml:space="preserve">n</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113" w:name="tbl-odds1"/>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2</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Odds ratios for all fixed effects of the Bayesian generalised linear model testing temporal changes in the breeding status of Atlantic Puffins</w:t>
            </w:r>
            <w:r>
              <w:t xml:space="preserve"> </w:t>
            </w:r>
            <w:r>
              <w:rPr>
                <w:i/>
                <w:iCs/>
              </w:rPr>
              <w:t xml:space="preserve">Fratercula arctica</w:t>
            </w:r>
            <w:r>
              <w:t xml:space="preserve"> </w:t>
            </w:r>
            <w:r>
              <w:t xml:space="preserve">harvest in Føroyar (1995-2008)</w:t>
            </w:r>
            <w:r>
              <w:rPr>
                <w:vertAlign w:val="superscript"/>
              </w:rPr>
              <w:t xml:space="preserve">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5.56</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24.78</w:t>
                  </w:r>
                </w:p>
              </w:tc>
              <w:tc>
                <w:tcPr/>
                <w:p>
                  <w:pPr>
                    <w:pStyle w:val="Compact"/>
                    <w:jc w:val="right"/>
                    <w:jc w:val="center"/>
                  </w:pPr>
                  <w:r>
                    <w:t xml:space="preserve">16.99</w:t>
                  </w:r>
                </w:p>
              </w:tc>
              <w:tc>
                <w:tcPr/>
                <w:p>
                  <w:pPr>
                    <w:pStyle w:val="Compact"/>
                    <w:jc w:val="right"/>
                    <w:jc w:val="center"/>
                  </w:pPr>
                  <w:r>
                    <w:t xml:space="preserve">37.13</w:t>
                  </w:r>
                </w:p>
              </w:tc>
            </w:tr>
            <w:tr>
              <w:tc>
                <w:tcPr>
                  <w:tcBorders>
                    <w:bottom w:val="single" w:sz="4" w:space="0" w:color="auto"/>
                  </w:tcBorders>
                </w:tcPr>
                <w:p>
                  <w:pPr>
                    <w:pStyle w:val="Compact"/>
                    <w:jc w:val="left"/>
                    <w:jc w:val="center"/>
                  </w:pPr>
                  <w:r>
                    <w:t xml:space="preserve">Year: BP</w:t>
                  </w:r>
                </w:p>
              </w:tc>
              <w:tc>
                <w:tcPr>
                  <w:tcBorders>
                    <w:bottom w:val="single" w:sz="4" w:space="0" w:color="auto"/>
                  </w:tcBorders>
                </w:tcPr>
                <w:p>
                  <w:pPr>
                    <w:pStyle w:val="Compact"/>
                    <w:jc w:val="right"/>
                    <w:jc w:val="center"/>
                  </w:pPr>
                  <w:r>
                    <w:t xml:space="preserve">0.46</w:t>
                  </w:r>
                </w:p>
              </w:tc>
              <w:tc>
                <w:tcPr>
                  <w:tcBorders>
                    <w:bottom w:val="single" w:sz="4" w:space="0" w:color="auto"/>
                  </w:tcBorders>
                </w:tcPr>
                <w:p>
                  <w:pPr>
                    <w:pStyle w:val="Compact"/>
                    <w:jc w:val="right"/>
                    <w:jc w:val="center"/>
                  </w:pPr>
                  <w:r>
                    <w:t xml:space="preserve">0.17</w:t>
                  </w:r>
                </w:p>
              </w:tc>
              <w:tc>
                <w:tcPr>
                  <w:tcBorders>
                    <w:bottom w:val="single" w:sz="4" w:space="0" w:color="auto"/>
                  </w:tcBorders>
                </w:tcPr>
                <w:p>
                  <w:pPr>
                    <w:pStyle w:val="Compact"/>
                    <w:jc w:val="right"/>
                    <w:jc w:val="center"/>
                  </w:pPr>
                  <w:r>
                    <w:t xml:space="preserve">1.32</w:t>
                  </w:r>
                </w:p>
              </w:tc>
            </w:tr>
          </w:tbl>
          <w:bookmarkEnd w:id="113"/>
          <w:p/>
        </w:tc>
      </w:tr>
    </w:tbl>
    <w:p>
      <w:pPr>
        <w:pStyle w:val="FootnoteText"/>
      </w:pPr>
      <w:r>
        <w:rPr>
          <w:vertAlign w:val="superscript"/>
        </w:rPr>
        <w:t xml:space="preserve">a</w:t>
      </w:r>
      <w:r>
        <w:t xml:space="preserve"> </w:t>
      </w:r>
      <w:r>
        <w:t xml:space="preserve">The model included breeding status (0 = never bred, 1 = has bred) as response variable, and year, brood patch (0 = absent, 1 = present), and their interaction as covariates.</w:t>
      </w:r>
    </w:p>
    <w:bookmarkEnd w:id="114"/>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hyperlink" Id="rId30"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4" Target="https://doi.org/10.1002/ecs2.1283" TargetMode="External" /><Relationship Type="http://schemas.openxmlformats.org/officeDocument/2006/relationships/hyperlink" Id="rId82"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86"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8" Target="https://doi.org/10.1016/j.biocon.2019.06.033" TargetMode="External" /><Relationship Type="http://schemas.openxmlformats.org/officeDocument/2006/relationships/hyperlink" Id="rId36"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0" Target="https://doi.org/10.1111/j.0030-1299.2004.13119.x" TargetMode="External" /><Relationship Type="http://schemas.openxmlformats.org/officeDocument/2006/relationships/hyperlink" Id="rId50" Target="https://doi.org/10.1111/j.0030-1299.2005.13351.x" TargetMode="External" /><Relationship Type="http://schemas.openxmlformats.org/officeDocument/2006/relationships/hyperlink" Id="rId42"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5" Target="https://doi.org/10.1111/rssa.12378" TargetMode="External" /><Relationship Type="http://schemas.openxmlformats.org/officeDocument/2006/relationships/hyperlink" Id="rId88"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32"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8" Target="https://doi.org/10.2305/IUCN.UK.2018-2.RLTS.T22694927A132581443.en" TargetMode="External" /><Relationship Type="http://schemas.openxmlformats.org/officeDocument/2006/relationships/hyperlink" Id="rId26"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24" Target="https://doi.org/10.5281/ZENODO.21780561" TargetMode="External" /><Relationship Type="http://schemas.openxmlformats.org/officeDocument/2006/relationships/hyperlink" Id="rId18" Target="https://doi.org/10.5281/zenodo.21780561" TargetMode="External" /><Relationship Type="http://schemas.openxmlformats.org/officeDocument/2006/relationships/hyperlink" Id="rId84"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7"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30"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4" Target="https://doi.org/10.1002/ecs2.1283" TargetMode="External" /><Relationship Type="http://schemas.openxmlformats.org/officeDocument/2006/relationships/hyperlink" Id="rId82"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86" Target="https://doi.org/10.1007/s11222-016-9696-4" TargetMode="External" /><Relationship Type="http://schemas.openxmlformats.org/officeDocument/2006/relationships/hyperlink" Id="rId74" Target="https://doi.org/10.1016/S0169-5347(00)89171-5" TargetMode="External" /><Relationship Type="http://schemas.openxmlformats.org/officeDocument/2006/relationships/hyperlink" Id="rId38" Target="https://doi.org/10.1016/j.biocon.2019.06.033" TargetMode="External" /><Relationship Type="http://schemas.openxmlformats.org/officeDocument/2006/relationships/hyperlink" Id="rId36" Target="https://doi.org/10.1016/j.cub.2021.06.059" TargetMode="External" /><Relationship Type="http://schemas.openxmlformats.org/officeDocument/2006/relationships/hyperlink" Id="rId78" Target="https://doi.org/10.1098/rspb.2005.3175" TargetMode="External" /><Relationship Type="http://schemas.openxmlformats.org/officeDocument/2006/relationships/hyperlink" Id="rId40" Target="https://doi.org/10.1111/j.0030-1299.2004.13119.x" TargetMode="External" /><Relationship Type="http://schemas.openxmlformats.org/officeDocument/2006/relationships/hyperlink" Id="rId50" Target="https://doi.org/10.1111/j.0030-1299.2005.13351.x" TargetMode="External" /><Relationship Type="http://schemas.openxmlformats.org/officeDocument/2006/relationships/hyperlink" Id="rId42"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72" Target="https://doi.org/10.1111/j.1755-263X.2009.00049.x" TargetMode="External" /><Relationship Type="http://schemas.openxmlformats.org/officeDocument/2006/relationships/hyperlink" Id="rId45" Target="https://doi.org/10.1111/rssa.12378" TargetMode="External" /><Relationship Type="http://schemas.openxmlformats.org/officeDocument/2006/relationships/hyperlink" Id="rId88"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32"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8" Target="https://doi.org/10.2305/IUCN.UK.2018-2.RLTS.T22694927A132581443.en" TargetMode="External" /><Relationship Type="http://schemas.openxmlformats.org/officeDocument/2006/relationships/hyperlink" Id="rId26"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6" Target="https://doi.org/10.32614/R.manuals" TargetMode="External" /><Relationship Type="http://schemas.openxmlformats.org/officeDocument/2006/relationships/hyperlink" Id="rId24" Target="https://doi.org/10.5281/ZENODO.21780561" TargetMode="External" /><Relationship Type="http://schemas.openxmlformats.org/officeDocument/2006/relationships/hyperlink" Id="rId18" Target="https://doi.org/10.5281/zenodo.21780561" TargetMode="External" /><Relationship Type="http://schemas.openxmlformats.org/officeDocument/2006/relationships/hyperlink" Id="rId84"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7"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2026-10-12T15:44:04Z</dcterms:created>
  <dcterms:modified xsi:type="dcterms:W3CDTF">2026-10-12T15:44:04Z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title">
    <vt:lpwstr>Pre-breeding Atlantic Puffins Fratercula arctica are disappearing from Faroese colonies</vt:lpwstr>
  </property>
  <property fmtid="{D5CDD505-2E9C-101B-9397-08002B2CF9AE}" pid="13" name="toc-title">
    <vt:lpwstr>Table of contents</vt:lpwstr>
  </property>
</Properties>
</file>