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5.png" ContentType="image/png"/>
  <Override PartName="/word/media/rId90.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 (</w:t>
      </w:r>
      <w:r>
        <w:rPr>
          <w:i/>
          <w:iCs/>
        </w:rPr>
        <w:t xml:space="preserve">Fratercula arctica</w:t>
      </w:r>
      <w:r>
        <w:t xml:space="preserve">) are disappearing from Faroese colonies</w:t>
      </w:r>
    </w:p>
    <w:p>
      <w:pPr>
        <w:pStyle w:val="Author"/>
      </w:pPr>
      <w:r>
        <w:t xml:space="preserve">ANNE N.M.A. AUSEMS</w:t>
      </w:r>
      <w:r>
        <w:rPr>
          <w:vertAlign w:val="superscript"/>
        </w:rPr>
        <w:t xml:space="preserve">1</w:t>
      </w:r>
      <w:r>
        <w:t xml:space="preserve">,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bookmarkStart w:id="9" w:name="abstract"/>
    <w:p>
      <w:pPr>
        <w:pStyle w:val="Heading1"/>
      </w:pPr>
      <w:r>
        <w:t xml:space="preserve">ABSTRACT</w:t>
      </w:r>
    </w:p>
    <w:p>
      <w:pPr>
        <w:pStyle w:val="FirstParagraph"/>
      </w:pPr>
      <w:r>
        <w:t xml:space="preserve">Ongoing climate change and increasing human-induced environmental change are causing substantial declines in seabirds. The Atlantic puffin (</w:t>
      </w:r>
      <w:r>
        <w:rPr>
          <w:i/>
          <w:iCs/>
        </w:rPr>
        <w:t xml:space="preserve">Fratercula arctica</w:t>
      </w:r>
      <w:r>
        <w:t xml:space="preserve">; hereafter puffin) is one such species, experiencing declines across it’s north Atlantic range. While much of the declines in puffins are indirect, for example due to reduced food availability causing large-scale breeding failure, direct threats such as hunting may push already struggling populations over the edge. At the same time, samples from harvested puffins provide a unique opportunity to dissect and analyse a healthy segment of the population. Here, we analysed 13 years (1995-2008) of data on female puffins harvested in</w:t>
      </w:r>
      <w:r>
        <w:t xml:space="preserve"> </w:t>
      </w:r>
      <w:r>
        <w:rPr>
          <w:i/>
          <w:iCs/>
        </w:rPr>
        <w:t xml:space="preserve">Føroyar</w:t>
      </w:r>
      <w:r>
        <w:t xml:space="preserve"> </w:t>
      </w:r>
      <w:r>
        <w:t xml:space="preserve">(Eng. the Faroe Islands) to determine whether the ratio of confirmed breeders (i.e., those females with</w:t>
      </w:r>
      <w:r>
        <w:t xml:space="preserve"> </w:t>
      </w:r>
      <w:r>
        <w:t xml:space="preserve">‘convoluted’</w:t>
      </w:r>
      <w:r>
        <w:t xml:space="preserve"> </w:t>
      </w:r>
      <w:r>
        <w:t xml:space="preserve">oviducts, indicating that had laid an egg at least once in their lifetime) in the harvested sample increased over time. We also scored brood patch as a proxy for ongoing breeding in the sample year, as the harvest was carried out well into the chick rearing period and hormonal brood patches (without active breeding attempt) should have disappeared. We found that the ratio of confirmed breeders increased from approximately 15% in the earlier study years to 78% in 2008, and that within birds without a brood patch, the ratio of confirmed breeders increased as well. Together, we showed that young, pre-breeding birds disappeared from the sample, suggesting a severe lack of recruitment. While the hunt is unlikely to be the main driver of the population decline in</w:t>
      </w:r>
      <w:r>
        <w:t xml:space="preserve"> </w:t>
      </w:r>
      <w:r>
        <w:rPr>
          <w:i/>
          <w:iCs/>
        </w:rPr>
        <w:t xml:space="preserve">Føroyar</w:t>
      </w:r>
      <w:r>
        <w:t xml:space="preserve">, even reduced harvesting is likely unsustainable under currect conditions.</w:t>
      </w:r>
    </w:p>
    <w:p>
      <w:pPr>
        <w:pStyle w:val="BodyText"/>
      </w:pPr>
      <w:r>
        <w:rPr>
          <w:b/>
          <w:bCs/>
        </w:rPr>
        <w:t xml:space="preserve">Key words:</w:t>
      </w:r>
      <w:r>
        <w:t xml:space="preserve"> </w:t>
      </w:r>
      <w:r>
        <w:t xml:space="preserve">demographics, seabirds, traditional harvest, recruitment, brood patch, seabird conservation</w:t>
      </w:r>
    </w:p>
    <w:bookmarkEnd w:id="9"/>
    <w:bookmarkStart w:id="10" w:name="introduction"/>
    <w:p>
      <w:pPr>
        <w:pStyle w:val="Heading1"/>
      </w:pPr>
      <w:r>
        <w:t xml:space="preserve">INTRODUCTION</w:t>
      </w:r>
    </w:p>
    <w:p>
      <w:pPr>
        <w:pStyle w:val="FirstParagraph"/>
      </w:pPr>
      <w:r>
        <w:t xml:space="preserve">Global climate change and increasing human-induced environmental change are causing large-scale declines in many seabird species</w:t>
      </w:r>
      <w:r>
        <w:t xml:space="preserve"> </w:t>
      </w:r>
      <w:r>
        <w:t xml:space="preserve">(Dias et al., 2019)</w:t>
      </w:r>
      <w:r>
        <w:t xml:space="preserve">. Some threats have indirect effects, for example, climate change may cause a decline in food availability leading to lower breeding success, and eventually observable population declines</w:t>
      </w:r>
      <w:r>
        <w:t xml:space="preserve"> </w:t>
      </w:r>
      <w:r>
        <w:t xml:space="preserve">(Fayet et al., 2021)</w:t>
      </w:r>
      <w:r>
        <w:t xml:space="preserve">. On the other hand, others, including climate change through increased storms</w:t>
      </w:r>
      <w:r>
        <w:t xml:space="preserve"> </w:t>
      </w:r>
      <w:r>
        <w:t xml:space="preserve">(Clairbaux et al., 2021)</w:t>
      </w:r>
      <w:r>
        <w:t xml:space="preserve">, directly cause mortality, such as bycatch and hunting. In long-lived species such as seabirds, changes in adult survival can have strong effects on population dynamics</w:t>
      </w:r>
      <w:r>
        <w:t xml:space="preserve"> </w:t>
      </w:r>
      <w:r>
        <w:t xml:space="preserve">(Doherty et al., 2004; Jenouvrier et al., 2005)</w:t>
      </w:r>
      <w:r>
        <w:t xml:space="preserve">, so even minor threats directly affecting it can have large impacts, especially on already vulnerable species. In contrast, the elasticity of the population growth rate to breeding success and recruitment rate is relatively low, but they can react strongly to changes in environmental conditions</w:t>
      </w:r>
      <w:r>
        <w:t xml:space="preserve"> </w:t>
      </w:r>
      <w:r>
        <w:t xml:space="preserve">(Jenouvrier et al., 2005)</w:t>
      </w:r>
      <w:r>
        <w:t xml:space="preserve">, thus ultimately having the strongest effect on population growth rate overall</w:t>
      </w:r>
      <w:r>
        <w:t xml:space="preserve"> </w:t>
      </w:r>
      <w:r>
        <w:t xml:space="preserve">(Miles et al., 2015)</w:t>
      </w:r>
      <w:r>
        <w:t xml:space="preserve">. In fact, pre-breeders can make up more than half the population size, and their disappearance can have strong impacts on population health</w:t>
      </w:r>
      <w:r>
        <w:t xml:space="preserve"> </w:t>
      </w:r>
      <w:r>
        <w:t xml:space="preserve">(Taylor &amp; Gnam, 2026)</w:t>
      </w:r>
      <w:r>
        <w:t xml:space="preserve">.</w:t>
      </w:r>
    </w:p>
    <w:p>
      <w:pPr>
        <w:pStyle w:val="BodyText"/>
      </w:pPr>
      <w:r>
        <w:t xml:space="preserve">Atlantic puffins (</w:t>
      </w:r>
      <w:r>
        <w:rPr>
          <w:i/>
          <w:iCs/>
        </w:rPr>
        <w:t xml:space="preserve">Fratercula arctica</w:t>
      </w:r>
      <w:r>
        <w:t xml:space="preserve">; hereafter</w:t>
      </w:r>
      <w:r>
        <w:t xml:space="preserve"> </w:t>
      </w:r>
      <w:r>
        <w:t xml:space="preserve">‘puffin’</w:t>
      </w:r>
      <w:r>
        <w:t xml:space="preserve">) are rapidly declining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declines are largely linked to changes in food availability causing declines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Generally, puffins start breeding when they are between 4 and 5 years, though occasionally they can start at 3 years old and often the first breeding attempt is at a later age</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long-stranding, culturally important tradition, where hunters catch flying puffins from set locations on land using a special made net. Puffins are a widespread species in the islands, with an estimated 550,000 breeding pairs in approximately 100 colonies</w:t>
      </w:r>
      <w:r>
        <w:t xml:space="preserve"> </w:t>
      </w:r>
      <w:r>
        <w:t xml:space="preserve">(Hammer et al., 2014; Jensen et al., 2005)</w:t>
      </w:r>
      <w:r>
        <w:t xml:space="preserve">. However, as in other areas, their population shows observed, but unquantified, declines in</w:t>
      </w:r>
      <w:r>
        <w:t xml:space="preserve"> </w:t>
      </w:r>
      <w:r>
        <w:rPr>
          <w:i/>
          <w:iCs/>
        </w:rPr>
        <w:t xml:space="preserve">Føroyar</w:t>
      </w:r>
      <w:r>
        <w:t xml:space="preserve">.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It is assumed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Puffins do not necessarily display this behaviour every day, rather they come to the colony on specific</w:t>
      </w:r>
      <w:r>
        <w:t xml:space="preserve"> </w:t>
      </w:r>
      <w:r>
        <w:rPr>
          <w:i/>
          <w:iCs/>
        </w:rPr>
        <w:t xml:space="preserve">landkomudagur</w:t>
      </w:r>
      <w:r>
        <w:t xml:space="preserve"> </w:t>
      </w:r>
      <w:r>
        <w:t xml:space="preserve">when weather conditions are favourable, which are the preferred hunting days. Hunters only trap birds taking part in the wheeling-flight behaviour. In addition, if a bird with wet bill and cheeks is caught, it is released again, as that is a sign of a bird having just delivered fish to its young.</w:t>
      </w:r>
    </w:p>
    <w:p>
      <w:pPr>
        <w:pStyle w:val="BodyText"/>
      </w:pPr>
      <w:r>
        <w:t xml:space="preserve">However, 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w:t>
      </w:r>
      <w:r>
        <w:t xml:space="preserve">. Furthermore, birds are forced to forage further offshore to find sufficient food, leading to increases in breeding failures</w:t>
      </w:r>
      <w:r>
        <w:t xml:space="preserve"> </w:t>
      </w:r>
      <w:r>
        <w:t xml:space="preserve">(Fayet et al., 2021)</w:t>
      </w:r>
      <w:r>
        <w:t xml:space="preserve">. Together, these changes may affect the efficacy of the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pPr>
      <w:r>
        <w:t xml:space="preserve">Using a 20-year dataset on legally harvested puffins</w:t>
      </w:r>
      <w:r>
        <w:t xml:space="preserve"> </w:t>
      </w:r>
      <w:r>
        <w:t xml:space="preserve">(Løgtingslóg Um Fuglaveiðu, Sum Seinast Broytt Við Løgtingslóg Nr. 70 Frá 22. Mai 2023, 1984)</w:t>
      </w:r>
      <w:r>
        <w:t xml:space="preserve">, we tested whether adults of breeding age were harvested. We hypothesise that, as the overall age of the population is increasing and the proportion of young (i.e., &lt;4 calendar years) is declining</w:t>
      </w:r>
      <w:r>
        <w:t xml:space="preserve"> </w:t>
      </w:r>
      <w:r>
        <w:t xml:space="preserve">(Ausems et al., 2026)</w:t>
      </w:r>
      <w:r>
        <w:t xml:space="preserve">, the ratio of adults of breeding age in the sample increased over the study period. Secondly, we tested whether breeding propensity changed over time by assessing brood patch presence in the sample. Brood patch formation is induced by hormones before the breeding season</w:t>
      </w:r>
      <w:r>
        <w:t xml:space="preserve"> </w:t>
      </w:r>
      <w:r>
        <w:t xml:space="preserve">(Jones, 1971)</w:t>
      </w:r>
      <w:r>
        <w:t xml:space="preserve"> </w:t>
      </w:r>
      <w:r>
        <w:t xml:space="preserve">but it quickly disappears when a bird is not incubating an egg</w:t>
      </w:r>
      <w:r>
        <w:t xml:space="preserve"> </w:t>
      </w:r>
      <w:r>
        <w:t xml:space="preserve">(Bailey, 1952)</w:t>
      </w:r>
      <w:r>
        <w:t xml:space="preserve">. While the presence of a brood patch can be a misleading sign of breeding status</w:t>
      </w:r>
      <w:r>
        <w:t xml:space="preserve"> </w:t>
      </w:r>
      <w:r>
        <w:t xml:space="preserve">(McFarlane Tranquilla et al., 2003)</w:t>
      </w:r>
      <w:r>
        <w:t xml:space="preserve">, we assumed that, at the time of the puffin hunt, prospecting and failed breeders would have refeathered their brood patch while actively incubating birds still retained theirs. We predicted that birds of breeding age would be less likely to have a brood patch later in the study period, indicating increased breeding failures or an increase in birds foregoing breeding.</w:t>
      </w:r>
    </w:p>
    <w:bookmarkEnd w:id="10"/>
    <w:bookmarkStart w:id="11" w:name="methods"/>
    <w:p>
      <w:pPr>
        <w:pStyle w:val="Heading1"/>
      </w:pPr>
      <w:r>
        <w:t xml:space="preserve">Methods</w:t>
      </w:r>
    </w:p>
    <w:p>
      <w:pPr>
        <w:pStyle w:val="FirstParagraph"/>
      </w:pPr>
      <w:r>
        <w:t xml:space="preserve">Ethics statement: all birds were legally harvested</w:t>
      </w:r>
      <w:r>
        <w:t xml:space="preserve"> </w:t>
      </w:r>
      <w:r>
        <w:t xml:space="preserve">(Løgtingslóg Um Fuglaveiðu, Sum Seinast Broytt Við Løgtingslóg Nr. 70 Frá 22. Mai 2023, 1984)</w:t>
      </w:r>
      <w:r>
        <w:t xml:space="preserve">, and none of the birds were killed on request specially for this study.</w:t>
      </w:r>
    </w:p>
    <w:p>
      <w:pPr>
        <w:pStyle w:val="BodyText"/>
      </w:pPr>
      <w:r>
        <w:t xml:space="preserve">Between 1989 and 2008, J-KJ inspected 5472 randomly selected puffins harvested on the islands of Nólsoy from 1989 to 2006, and on Mykines from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Puffins were harvested from July 2nd, with an official end-date of August 8th, although this was not always adhered to and the latest sample in our dataset was harvested August 15th. J-KJ acquired an arbitrary number of puffins (range: 9, 450; median: 277.5;</w:t>
      </w:r>
      <w:r>
        <w:t xml:space="preserve"> </w:t>
      </w:r>
      <w:hyperlink w:anchor="tbl-harvest">
        <w:r>
          <w:rPr>
            <w:rStyle w:val="Hyperlink"/>
          </w:rPr>
          <w:t xml:space="preserve">Table 1</w:t>
        </w:r>
      </w:hyperlink>
      <w:r>
        <w:t xml:space="preserve">) from the hunters when they returned to the village. Hunters placed the harvested puffins in a big pile on the ground prior to processing. From one pile per hunting day, J-KJ collected a random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a brood patch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breeding age</w:t>
      </w:r>
      <w:r>
        <w:t xml:space="preserve"> </w:t>
      </w:r>
      <w:r>
        <w:t xml:space="preserve">(Van Franeker, 2004)</w:t>
      </w:r>
      <w:r>
        <w:t xml:space="preserve">. For males, it is impossible to determine whether they have bred before. Based on bill characteristics, we could only determine their age up to 4 years</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(n = 1995). We removed individuals for which breeding state could not be determined (n = 74) and individuals for which brood patch was not scored (n =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R Core Team (2026)</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skeptical normal (0, 1) prior on the year trend, and the default Student-t (3, 0, 2.5) prior on the intercept. We centered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pPr>
      <w:r>
        <w:t xml:space="preserve">As a robustness check, we tested whether brood patch detectability drifted over time within confirmed breeding-age females, with a second GLM with brood patch presence as response variable and year as covariate, including only breeding-age females (n = 469). We used the same priors as for the full model, excluding the interaction term. As a second robustness check to confirm that the low sample size (n = 5) in 2007 did not have an undue effect on the overall outcome, we refit the full model excluding 2007.</w:t>
      </w:r>
    </w:p>
    <w:bookmarkEnd w:id="11"/>
    <w:bookmarkStart w:id="12" w:name="results"/>
    <w:p>
      <w:pPr>
        <w:pStyle w:val="Heading1"/>
      </w:pPr>
      <w:r>
        <w:t xml:space="preserve">Results</w:t>
      </w:r>
    </w:p>
    <w:p>
      <w:pPr>
        <w:pStyle w:val="FirstParagraph"/>
      </w:pPr>
      <w:r>
        <w:t xml:space="preserve">The model passed the validation checks (Appendix 1) with all</w:t>
      </w:r>
      <w:r>
        <w:t xml:space="preserve"> </w:t>
      </w:r>
      <m:oMath>
        <m:acc>
          <m:accPr>
            <m:chr m:val="̂"/>
          </m:accPr>
          <m:e>
            <m:r>
              <m:t>R</m:t>
            </m:r>
          </m:e>
        </m:acc>
      </m:oMath>
      <w:r>
        <w:t xml:space="preserve"> </w:t>
      </w:r>
      <w:r>
        <w:t xml:space="preserve">≤ 1.001 and high ESS (bulk/tail ESS &gt; 8,900 of 12,000 post-warmup draws). All Pareto k estimates were &lt; 0.7 (expected log pointwise predictive density (ELPD) ± standard error (SE) = -856.24 ± 26.99, effective parameters ± SE = 3.69 ± 0.28). The robustness check models also passed all checks (Appendix 1).</w:t>
      </w:r>
    </w:p>
    <w:p>
      <w:pPr>
        <w:pStyle w:val="BodyText"/>
      </w:pPr>
      <w:r>
        <w:t xml:space="preserve">The GLM showed an increase in the ratio of females that had bred over time (</w:t>
      </w:r>
      <w:hyperlink w:anchor="fig-marg-bar">
        <w:r>
          <w:rPr>
            <w:rStyle w:val="Hyperlink"/>
          </w:rPr>
          <w:t xml:space="preserve">Fig. 2</w:t>
        </w:r>
      </w:hyperlink>
      <w:r>
        <w:t xml:space="preserve">), with a stronger increase within females without a brood patch than females with a brood patch (</w:t>
      </w:r>
      <w:hyperlink w:anchor="fig-pred1">
        <w:r>
          <w:rPr>
            <w:rStyle w:val="Hyperlink"/>
          </w:rPr>
          <w:t xml:space="preserve">Fig. 3</w:t>
        </w:r>
      </w:hyperlink>
      <w:r>
        <w:t xml:space="preserve">). Averaged across the sample (integrating over the observed proportion of brood patch presence;</w:t>
      </w:r>
      <w:r>
        <w:t xml:space="preserve"> </w:t>
      </w:r>
      <w:hyperlink w:anchor="fig-marg-bar">
        <w:r>
          <w:rPr>
            <w:rStyle w:val="Hyperlink"/>
          </w:rPr>
          <w:t xml:space="preserve">Fig. 2</w:t>
        </w:r>
      </w:hyperlink>
      <w:r>
        <w:t xml:space="preserve">), the model-predicted probability of having bred increased from 0.14 (95% CI: 0.12–0.16) in 1995 to 0.47 (95% CI: 0.41–0.53) in 2008, an increase of 0.33 (95% CI: 0.26–0.40) over the study period. Breeding odds increased by a factor of 5.65 (95% CI: 3.88-7.99; posterior probability of an increase = 100.0%) per decade in females without a brood patch (the baseline for the model) and 2.92 (95% CI: 0.98-7.08; posterior probability of an increase = 97.3%) for females with a brood patch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confirmed breeding-age female (odds ratio 0.90/decade; 95% CI [0.56-1.44]; posterior probability = 67.7;</w:t>
      </w:r>
      <w:r>
        <w:t xml:space="preserve"> </w:t>
      </w:r>
      <w:hyperlink w:anchor="fig-pred2">
        <w:r>
          <w:rPr>
            <w:rStyle w:val="Hyperlink"/>
          </w:rPr>
          <w:t xml:space="preserve">Fig. 4</w:t>
        </w:r>
      </w:hyperlink>
      <w:r>
        <w:t xml:space="preserve">). Removing 2007 did not change the model predictions (Δ odds ratio, full model minus 2007-excluded refit: intercept +0.00, year +0.00, brood patch presence -0.06, interaction +0.00).</w:t>
      </w:r>
    </w:p>
    <w:bookmarkEnd w:id="12"/>
    <w:bookmarkStart w:id="13" w:name="discussion"/>
    <w:p>
      <w:pPr>
        <w:pStyle w:val="Heading1"/>
      </w:pPr>
      <w:r>
        <w:t xml:space="preserve">Discussion</w:t>
      </w:r>
    </w:p>
    <w:p>
      <w:pPr>
        <w:pStyle w:val="FirstParagraph"/>
      </w:pPr>
      <w:r>
        <w:t xml:space="preserve">Our results show that the self-imposed rules were reasonably effective early in the study period when approximately 15-30% of the female harvest were birds of confirmed breeding age (</w:t>
      </w:r>
      <w:hyperlink w:anchor="tbl-harvest">
        <w:r>
          <w:rPr>
            <w:rStyle w:val="Hyperlink"/>
          </w:rPr>
          <w:t xml:space="preserve">Table 1</w:t>
        </w:r>
      </w:hyperlink>
      <w:r>
        <w:t xml:space="preserve">). However, in the later years leading up to the suspension of the harvest, the number of birds of confirmed breeding age steeply increased to a peak of 78% (</w:t>
      </w:r>
      <w:hyperlink w:anchor="tbl-harvest">
        <w:r>
          <w:rPr>
            <w:rStyle w:val="Hyperlink"/>
          </w:rPr>
          <w:t xml:space="preserve">Table 1</w:t>
        </w:r>
      </w:hyperlink>
      <w:r>
        <w:t xml:space="preserve">). Furthermore, by including brood patch presence in the model, we showed that 1) bird of breeding age are not more or less likely to attempt breeding in a given year, and 2) within the group of birds without a brood patch, birds of breeding age are more prevalent (</w:t>
      </w:r>
      <w:hyperlink w:anchor="fig-marg-bar">
        <w:r>
          <w:rPr>
            <w:rStyle w:val="Hyperlink"/>
          </w:rPr>
          <w:t xml:space="preserve">Fig. 2</w:t>
        </w:r>
      </w:hyperlink>
      <w:r>
        <w:t xml:space="preserve">). Together, this indicates that the group of non-breeding birds is disappearing from the sample, rather than brood patch detectability changing in birds of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years. Our current study only includes female birds, as we cannot confirm breeding status in males</w:t>
      </w:r>
      <w:r>
        <w:t xml:space="preserve"> </w:t>
      </w:r>
      <w:r>
        <w:t xml:space="preserve">(Van Franeker, 2004)</w:t>
      </w:r>
      <w:r>
        <w:t xml:space="preserve">, but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(this study and Ausems et al., 2026)</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more likely to be caught as breeding success declining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Overall, we believe that the harvested sample, although intentionally biased towards younger birds, represents an ongoing trend in the whole Faroese, and potentially north Atlantic, population of insufficient recruitment in puffins causing an aging effect in the overall population</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w:t>
      </w:r>
    </w:p>
    <w:bookmarkEnd w:id="13"/>
    <w:bookmarkStart w:id="14" w:name="acknowledgements"/>
    <w:p>
      <w:pPr>
        <w:pStyle w:val="Heading1"/>
      </w:pPr>
      <w:r>
        <w:t xml:space="preserve">Acknowledgements</w:t>
      </w:r>
    </w:p>
    <w:p>
      <w:pPr>
        <w:pStyle w:val="FirstParagraph"/>
      </w:pPr>
      <w:r>
        <w:t xml:space="preserve">We would like to thank René Hansen for collecting and sharing the harvest numbers and Trevor MacLaurin for double checking our statistical methods. Most importantly, we would like to thank the hunters who shared puffins for use in this study. Puffins were obtained using private funds and a small contribution from Havstovan - Faroe Marine Research Institute.</w:t>
      </w:r>
    </w:p>
    <w:bookmarkEnd w:id="14"/>
    <w:bookmarkStart w:id="15" w:name="author-contributions"/>
    <w:p>
      <w:pPr>
        <w:pStyle w:val="Heading1"/>
      </w:pPr>
      <w:r>
        <w:t xml:space="preserve">Author contributions</w:t>
      </w:r>
    </w:p>
    <w:p>
      <w:pPr>
        <w:pStyle w:val="FirstParagraph"/>
      </w:pPr>
      <w:r>
        <w:t xml:space="preserve">AA: conceptualisation; data curation; formal analysis; methodology; validation; visualisation; writing - original draft</w:t>
      </w:r>
    </w:p>
    <w:p>
      <w:pPr>
        <w:pStyle w:val="BodyText"/>
      </w:pPr>
      <w:r>
        <w:t xml:space="preserve">JKJ: conceptualisation; data curation; investigation; methodology; resources; writing - review and editing</w:t>
      </w:r>
    </w:p>
    <w:bookmarkEnd w:id="15"/>
    <w:bookmarkStart w:id="18" w:name="data-and-code-availability"/>
    <w:p>
      <w:pPr>
        <w:pStyle w:val="Heading1"/>
      </w:pPr>
      <w:r>
        <w:t xml:space="preserve">Data and code availability</w:t>
      </w:r>
    </w:p>
    <w:p>
      <w:pPr>
        <w:pStyle w:val="FirstParagraph"/>
      </w:pPr>
      <w:r>
        <w:t xml:space="preserve">Data and code for all analyses are available at</w:t>
      </w:r>
      <w:r>
        <w:t xml:space="preserve"> </w:t>
      </w:r>
      <w:hyperlink r:id="rId16">
        <w:r>
          <w:rPr>
            <w:rStyle w:val="Hyperlink"/>
          </w:rPr>
          <w:t xml:space="preserve">https://github.com/AnneAus/puffin_female_harvest</w:t>
        </w:r>
      </w:hyperlink>
      <w:r>
        <w:t xml:space="preserve">, archived at Zenodo:</w:t>
      </w:r>
      <w:r>
        <w:t xml:space="preserve"> </w:t>
      </w:r>
      <w:hyperlink r:id="rId17">
        <w:r>
          <w:rPr>
            <w:rStyle w:val="Hyperlink"/>
          </w:rPr>
          <w:t xml:space="preserve">https://doi.org/10.5281/zenodo.21780561</w:t>
        </w:r>
      </w:hyperlink>
      <w:r>
        <w:t xml:space="preserve">.</w:t>
      </w:r>
    </w:p>
    <w:bookmarkEnd w:id="18"/>
    <w:bookmarkStart w:id="102" w:name="references"/>
    <w:p>
      <w:pPr>
        <w:pStyle w:val="Heading1"/>
      </w:pPr>
      <w:r>
        <w:t xml:space="preserve">REFERENCES</w:t>
      </w:r>
    </w:p>
    <w:bookmarkStart w:id="79" w:name="refs"/>
    <w:bookmarkStart w:id="20" w:name="ref-ashcroftSurvivalRatesBreeding1979"/>
    <w:p>
      <w:pPr>
        <w:pStyle w:val="Bibliography"/>
      </w:pPr>
      <w:r>
        <w:t xml:space="preserve">Ashcroft, R. E. (1979). Survival</w:t>
      </w:r>
      <w:r>
        <w:t xml:space="preserve"> </w:t>
      </w:r>
      <w:r>
        <w:t xml:space="preserve">Rates</w:t>
      </w:r>
      <w:r>
        <w:t xml:space="preserve"> </w:t>
      </w:r>
      <w:r>
        <w:t xml:space="preserve">and</w:t>
      </w:r>
      <w:r>
        <w:t xml:space="preserve"> </w:t>
      </w:r>
      <w:r>
        <w:t xml:space="preserve">Breeding Biology</w:t>
      </w:r>
      <w:r>
        <w:t xml:space="preserve"> </w:t>
      </w:r>
      <w:r>
        <w:t xml:space="preserve">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19">
        <w:r>
          <w:rPr>
            <w:rStyle w:val="Hyperlink"/>
          </w:rPr>
          <w:t xml:space="preserve">https://doi.org/10.2307/3676349</w:t>
        </w:r>
      </w:hyperlink>
    </w:p>
    <w:bookmarkEnd w:id="20"/>
    <w:bookmarkStart w:id="22" w:name="ref-ausemsVariationFoodAvailability2026"/>
    <w:p>
      <w:pPr>
        <w:pStyle w:val="Bibliography"/>
      </w:pPr>
      <w:r>
        <w:t xml:space="preserve">Ausems, A. N. M. A., Jakubas, D., Jensen, J.,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w:t>
      </w:r>
      <w:r>
        <w:rPr>
          <w:i/>
          <w:iCs/>
        </w:rPr>
        <w:t xml:space="preserve"> </w:t>
      </w:r>
      <w:r>
        <w:rPr>
          <w:i/>
          <w:iCs/>
        </w:rPr>
        <w:t xml:space="preserve">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21">
        <w:r>
          <w:rPr>
            <w:rStyle w:val="Hyperlink"/>
          </w:rPr>
          <w:t xml:space="preserve">https://doi.org/10.1002/wlb3.01546</w:t>
        </w:r>
      </w:hyperlink>
    </w:p>
    <w:bookmarkEnd w:id="22"/>
    <w:bookmarkStart w:id="24" w:name="ref-baileyIncubationPatchPasserine1952"/>
    <w:p>
      <w:pPr>
        <w:pStyle w:val="Bibliography"/>
      </w:pPr>
      <w:r>
        <w:t xml:space="preserve">Bailey, R. E. (1952). The</w:t>
      </w:r>
      <w:r>
        <w:t xml:space="preserve"> </w:t>
      </w:r>
      <w:r>
        <w:t xml:space="preserve">Incubation Patch</w:t>
      </w:r>
      <w:r>
        <w:t xml:space="preserve"> </w:t>
      </w:r>
      <w:r>
        <w:t xml:space="preserve">of</w:t>
      </w:r>
      <w:r>
        <w:t xml:space="preserve"> </w:t>
      </w:r>
      <w:r>
        <w:t xml:space="preserve">Passerine Birds</w:t>
      </w:r>
      <w:r>
        <w:t xml:space="preserve">.</w:t>
      </w:r>
      <w:r>
        <w:t xml:space="preserve"> </w:t>
      </w:r>
      <w:r>
        <w:rPr>
          <w:i/>
          <w:iCs/>
        </w:rPr>
        <w:t xml:space="preserve">The Condor</w:t>
      </w:r>
      <w:r>
        <w:t xml:space="preserve">,</w:t>
      </w:r>
      <w:r>
        <w:t xml:space="preserve"> </w:t>
      </w:r>
      <w:r>
        <w:rPr>
          <w:i/>
          <w:iCs/>
        </w:rPr>
        <w:t xml:space="preserve">54</w:t>
      </w:r>
      <w:r>
        <w:t xml:space="preserve">(3), 121–136.</w:t>
      </w:r>
      <w:r>
        <w:t xml:space="preserve"> </w:t>
      </w:r>
      <w:hyperlink r:id="rId23">
        <w:r>
          <w:rPr>
            <w:rStyle w:val="Hyperlink"/>
          </w:rPr>
          <w:t xml:space="preserve">https://doi.org/10.2307/1365062</w:t>
        </w:r>
      </w:hyperlink>
    </w:p>
    <w:bookmarkEnd w:id="24"/>
    <w:bookmarkStart w:id="26"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 E.</w:t>
      </w:r>
      <w:r>
        <w:rPr>
          <w:i/>
          <w:iCs/>
        </w:rPr>
        <w:t xml:space="preserve">T22694927A132581443</w:t>
      </w:r>
      <w:r>
        <w:t xml:space="preserve">.</w:t>
      </w:r>
      <w:r>
        <w:t xml:space="preserve"> </w:t>
      </w:r>
      <w:hyperlink r:id="rId25">
        <w:r>
          <w:rPr>
            <w:rStyle w:val="Hyperlink"/>
          </w:rPr>
          <w:t xml:space="preserve">https://doi.org/10.2305/IUCN.UK.2018-2.RLTS.T22694927A132581443.en</w:t>
        </w:r>
      </w:hyperlink>
    </w:p>
    <w:bookmarkEnd w:id="26"/>
    <w:bookmarkStart w:id="28"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w:t>
      </w:r>
      <w:r>
        <w:rPr>
          <w:i/>
          <w:i/>
          <w:iCs/>
          <w:iCs/>
        </w:rPr>
        <w:t xml:space="preserve"> </w:t>
      </w:r>
      <w:r>
        <w:rPr>
          <w:i/>
          <w:i/>
          <w:iCs/>
          <w:iCs/>
        </w:rPr>
        <w:t xml:space="preserve">Arctica</w:t>
      </w:r>
      <w:r>
        <w:t xml:space="preserve">.</w:t>
      </w:r>
      <w:r>
        <w:t xml:space="preserve"> </w:t>
      </w:r>
      <w:hyperlink r:id="rId27">
        <w:r>
          <w:rPr>
            <w:rStyle w:val="Hyperlink"/>
          </w:rPr>
          <w:t xml:space="preserve">https://datazone.birdlife.org/species/factsheet/atlantic-puffin-fratercula-arctica</w:t>
        </w:r>
      </w:hyperlink>
    </w:p>
    <w:bookmarkEnd w:id="28"/>
    <w:bookmarkStart w:id="30"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9">
        <w:r>
          <w:rPr>
            <w:rStyle w:val="Hyperlink"/>
          </w:rPr>
          <w:t xml:space="preserve">https://doi.org/10.18637/jss.v080.i01</w:t>
        </w:r>
      </w:hyperlink>
    </w:p>
    <w:bookmarkEnd w:id="30"/>
    <w:bookmarkStart w:id="32"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31">
        <w:r>
          <w:rPr>
            <w:rStyle w:val="Hyperlink"/>
          </w:rPr>
          <w:t xml:space="preserve">https://doi.org/10.1002/ecs2.1283</w:t>
        </w:r>
      </w:hyperlink>
    </w:p>
    <w:bookmarkEnd w:id="32"/>
    <w:bookmarkStart w:id="34"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33">
        <w:r>
          <w:rPr>
            <w:rStyle w:val="Hyperlink"/>
          </w:rPr>
          <w:t xml:space="preserve">https://doi.org/10.1016/j.cub.2021.06.059</w:t>
        </w:r>
      </w:hyperlink>
    </w:p>
    <w:bookmarkEnd w:id="34"/>
    <w:bookmarkStart w:id="36"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5">
        <w:r>
          <w:rPr>
            <w:rStyle w:val="Hyperlink"/>
          </w:rPr>
          <w:t xml:space="preserve">https://doi.org/10.1016/j.biocon.2019.06.033</w:t>
        </w:r>
      </w:hyperlink>
    </w:p>
    <w:bookmarkEnd w:id="36"/>
    <w:bookmarkStart w:id="38"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37">
        <w:r>
          <w:rPr>
            <w:rStyle w:val="Hyperlink"/>
          </w:rPr>
          <w:t xml:space="preserve">https://doi.org/10.1111/j.0030-1299.2004.13119.x</w:t>
        </w:r>
      </w:hyperlink>
    </w:p>
    <w:bookmarkEnd w:id="38"/>
    <w:bookmarkStart w:id="40"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39">
        <w:r>
          <w:rPr>
            <w:rStyle w:val="Hyperlink"/>
          </w:rPr>
          <w:t xml:space="preserve">https://doi.org/10.1111/j.1461-0248.2004.00588.x</w:t>
        </w:r>
      </w:hyperlink>
    </w:p>
    <w:bookmarkEnd w:id="40"/>
    <w:bookmarkStart w:id="41"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 1152–1164.</w:t>
      </w:r>
    </w:p>
    <w:bookmarkEnd w:id="41"/>
    <w:bookmarkStart w:id="43" w:name="X402cb5e1a4e69ff49497d0188bad825f79b15d6"/>
    <w:p>
      <w:pPr>
        <w:pStyle w:val="Bibliography"/>
      </w:pPr>
      <w:r>
        <w:t xml:space="preserve">Gabry, J., Simpson, D., Vehtari, A., Betancourt, M., &amp; Gelman, A. (2019). Visualization in</w:t>
      </w:r>
      <w:r>
        <w:t xml:space="preserve"> </w:t>
      </w:r>
      <w:r>
        <w:t xml:space="preserve">Bayesian Workflow</w:t>
      </w:r>
      <w:r>
        <w:t xml:space="preserve">.</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42">
        <w:r>
          <w:rPr>
            <w:rStyle w:val="Hyperlink"/>
          </w:rPr>
          <w:t xml:space="preserve">https://doi.org/10.1111/rssa.12378</w:t>
        </w:r>
      </w:hyperlink>
    </w:p>
    <w:bookmarkEnd w:id="43"/>
    <w:bookmarkStart w:id="45"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4">
        <w:r>
          <w:rPr>
            <w:rStyle w:val="Hyperlink"/>
          </w:rPr>
          <w:t xml:space="preserve">https://www3.stat.sinica.edu.tw/statistica/j6n4/j6n41/j6n41.htm</w:t>
        </w:r>
      </w:hyperlink>
    </w:p>
    <w:bookmarkEnd w:id="45"/>
    <w:bookmarkStart w:id="46"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46"/>
    <w:bookmarkStart w:id="48"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47">
        <w:r>
          <w:rPr>
            <w:rStyle w:val="Hyperlink"/>
          </w:rPr>
          <w:t xml:space="preserve">https://doi.org/10.1111/j.0030-1299.2005.13351.x</w:t>
        </w:r>
      </w:hyperlink>
    </w:p>
    <w:bookmarkEnd w:id="48"/>
    <w:bookmarkStart w:id="49"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49"/>
    <w:bookmarkStart w:id="50"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fuglafrøḥifelag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50"/>
    <w:bookmarkStart w:id="51"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51"/>
    <w:bookmarkStart w:id="53"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52">
        <w:r>
          <w:rPr>
            <w:rStyle w:val="Hyperlink"/>
          </w:rPr>
          <w:t xml:space="preserve">https://doi.org/10.1002/2688-8319.12390</w:t>
        </w:r>
      </w:hyperlink>
    </w:p>
    <w:bookmarkEnd w:id="53"/>
    <w:bookmarkStart w:id="55"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54">
        <w:r>
          <w:rPr>
            <w:rStyle w:val="Hyperlink"/>
          </w:rPr>
          <w:t xml:space="preserve">https://www.researchgate.net/publication/381954204_Icelandic_puffin_stock_assessments_2024</w:t>
        </w:r>
      </w:hyperlink>
    </w:p>
    <w:bookmarkEnd w:id="55"/>
    <w:bookmarkStart w:id="57" w:name="ref-jonesIncubationPatchBirds1971"/>
    <w:p>
      <w:pPr>
        <w:pStyle w:val="Bibliography"/>
      </w:pPr>
      <w:r>
        <w:t xml:space="preserve">Jones, R. E. (1971). The</w:t>
      </w:r>
      <w:r>
        <w:t xml:space="preserve"> </w:t>
      </w:r>
      <w:r>
        <w:t xml:space="preserve">Incubation Patch</w:t>
      </w:r>
      <w:r>
        <w:t xml:space="preserve"> </w:t>
      </w:r>
      <w:r>
        <w:t xml:space="preserve">of</w:t>
      </w:r>
      <w:r>
        <w:t xml:space="preserve"> </w:t>
      </w:r>
      <w:r>
        <w:t xml:space="preserve">Birds</w:t>
      </w:r>
      <w:r>
        <w:t xml:space="preserve">.</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56">
        <w:r>
          <w:rPr>
            <w:rStyle w:val="Hyperlink"/>
          </w:rPr>
          <w:t xml:space="preserve">https://doi.org/10.1111/j.1469-185X.1971.tb01048.x</w:t>
        </w:r>
      </w:hyperlink>
    </w:p>
    <w:bookmarkEnd w:id="57"/>
    <w:bookmarkStart w:id="58" w:name="Xe19625febeb906ccdb6e58cd53cb47af33dcf28"/>
    <w:p>
      <w:pPr>
        <w:pStyle w:val="Bibliography"/>
      </w:pPr>
      <w:r>
        <w:t xml:space="preserve">Løgtingslóg Um Fuglaveiðu, Sum Seinast Broytt Við Løgtingslóg Nr. 70 Frá 22. Mai 2023 (1984).</w:t>
      </w:r>
    </w:p>
    <w:bookmarkEnd w:id="58"/>
    <w:bookmarkStart w:id="60" w:name="ref-lowtherAtlanticPuffinFratercula2020"/>
    <w:p>
      <w:pPr>
        <w:pStyle w:val="Bibliography"/>
      </w:pPr>
      <w:r>
        <w:t xml:space="preserve">Lowther, P. E., Diamond, A. W., Kress, S. W., Robertson, G. J., Russell, K., Nettleship, D. N., Kirwan, G. M., Christie, D. A., Sharpe, C. J., Garcia, E. F. J., &amp; Boesman, P. F. D. (2020). Atlantic puffin (</w:t>
      </w:r>
      <w:r>
        <w:t xml:space="preserve">Fratercula</w:t>
      </w:r>
      <w:r>
        <w:t xml:space="preserve"> </w:t>
      </w:r>
      <w:r>
        <w:t xml:space="preserve">arctica), ver. 1.0. In S. M. Billerman (Ed.),</w:t>
      </w:r>
      <w:r>
        <w:t xml:space="preserve"> </w:t>
      </w:r>
      <w:r>
        <w:rPr>
          <w:i/>
          <w:iCs/>
        </w:rPr>
        <w:t xml:space="preserve">Birds of the world</w:t>
      </w:r>
      <w:r>
        <w:t xml:space="preserve">. Cornell Laboratory of Ornithology.</w:t>
      </w:r>
      <w:r>
        <w:t xml:space="preserve"> </w:t>
      </w:r>
      <w:hyperlink r:id="rId59">
        <w:r>
          <w:rPr>
            <w:rStyle w:val="Hyperlink"/>
          </w:rPr>
          <w:t xml:space="preserve">https://doi.org/10.2173/bow.atlpuf.01</w:t>
        </w:r>
      </w:hyperlink>
    </w:p>
    <w:bookmarkEnd w:id="60"/>
    <w:bookmarkStart w:id="62"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t xml:space="preserve">Fratercula</w:t>
      </w:r>
      <w:r>
        <w:t xml:space="preserve"> </w:t>
      </w:r>
      <w:r>
        <w:t xml:space="preserve">arctica) and</w:t>
      </w:r>
      <w:r>
        <w:t xml:space="preserve"> </w:t>
      </w:r>
      <w:r>
        <w:t xml:space="preserve">Razorbill</w:t>
      </w:r>
      <w:r>
        <w:t xml:space="preserve"> </w:t>
      </w:r>
      <w:r>
        <w:t xml:space="preserve">(</w:t>
      </w:r>
      <w:r>
        <w:t xml:space="preserve">Alca</w:t>
      </w:r>
      <w:r>
        <w:t xml:space="preserve"> </w:t>
      </w:r>
      <w:r>
        <w:t xml:space="preserve">torda)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61">
        <w:r>
          <w:rPr>
            <w:rStyle w:val="Hyperlink"/>
          </w:rPr>
          <w:t xml:space="preserve">https://doi.org/10.1525/elementa.2021.00033</w:t>
        </w:r>
      </w:hyperlink>
    </w:p>
    <w:bookmarkEnd w:id="62"/>
    <w:bookmarkStart w:id="64" w:name="X958f21470482a6a06ce614515743210bd9f3c46"/>
    <w:p>
      <w:pPr>
        <w:pStyle w:val="Bibliography"/>
      </w:pPr>
      <w:r>
        <w:t xml:space="preserve">McFarlane Tranquilla, L. A., Bradley, R. W., Lank, D. B., Williams, T. D., Lougheed, L. W., &amp; Cooke, F. (2003). The</w:t>
      </w:r>
      <w:r>
        <w:t xml:space="preserve"> </w:t>
      </w:r>
      <w:r>
        <w:t xml:space="preserve">Reliability</w:t>
      </w:r>
      <w:r>
        <w:t xml:space="preserve"> </w:t>
      </w:r>
      <w:r>
        <w:t xml:space="preserve">of</w:t>
      </w:r>
      <w:r>
        <w:t xml:space="preserve"> </w:t>
      </w:r>
      <w:r>
        <w:t xml:space="preserve">Brood Patches</w:t>
      </w:r>
      <w:r>
        <w:t xml:space="preserve"> </w:t>
      </w:r>
      <w:r>
        <w:t xml:space="preserve">in</w:t>
      </w:r>
      <w:r>
        <w:t xml:space="preserve"> </w:t>
      </w:r>
      <w:r>
        <w:t xml:space="preserve">Assessing Reproductive Status</w:t>
      </w:r>
      <w:r>
        <w:t xml:space="preserve"> </w:t>
      </w:r>
      <w:r>
        <w:t xml:space="preserve">in the</w:t>
      </w:r>
      <w:r>
        <w:t xml:space="preserve"> </w:t>
      </w:r>
      <w:r>
        <w:t xml:space="preserve">Marbled Murrelet</w:t>
      </w:r>
      <w:r>
        <w:t xml:space="preserve">:</w:t>
      </w:r>
      <w:r>
        <w:t xml:space="preserve"> </w:t>
      </w:r>
      <w:r>
        <w:t xml:space="preserve">Words</w:t>
      </w:r>
      <w:r>
        <w:t xml:space="preserve"> </w:t>
      </w:r>
      <w:r>
        <w:t xml:space="preserve">of</w:t>
      </w:r>
      <w:r>
        <w:t xml:space="preserve"> </w:t>
      </w:r>
      <w:r>
        <w:t xml:space="preserve">Caution</w:t>
      </w:r>
      <w:r>
        <w:t xml:space="preserve">.</w:t>
      </w:r>
      <w:r>
        <w:t xml:space="preserve"> </w:t>
      </w:r>
      <w:r>
        <w:rPr>
          <w:i/>
          <w:iCs/>
        </w:rPr>
        <w:t xml:space="preserve">Waterbirds</w:t>
      </w:r>
      <w:r>
        <w:t xml:space="preserve">,</w:t>
      </w:r>
      <w:r>
        <w:t xml:space="preserve"> </w:t>
      </w:r>
      <w:r>
        <w:rPr>
          <w:i/>
          <w:iCs/>
        </w:rPr>
        <w:t xml:space="preserve">26</w:t>
      </w:r>
      <w:r>
        <w:t xml:space="preserve">(1), 108–118.</w:t>
      </w:r>
      <w:r>
        <w:t xml:space="preserve"> </w:t>
      </w:r>
      <w:hyperlink r:id="rId63">
        <w:r>
          <w:rPr>
            <w:rStyle w:val="Hyperlink"/>
          </w:rPr>
          <w:t xml:space="preserve">https://doi.org/10.1675/1524-4695(2003)026[0108:TROBPI]2.0.CO;2</w:t>
        </w:r>
      </w:hyperlink>
    </w:p>
    <w:bookmarkEnd w:id="64"/>
    <w:bookmarkStart w:id="66"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 Population</w:t>
      </w:r>
      <w:r>
        <w:t xml:space="preserve">:</w:t>
      </w:r>
      <w:r>
        <w:t xml:space="preserve"> </w:t>
      </w:r>
      <w:r>
        <w:t xml:space="preserve">Evaluation</w:t>
      </w:r>
      <w:r>
        <w:t xml:space="preserve"> </w:t>
      </w:r>
      <w:r>
        <w:t xml:space="preserve">of</w:t>
      </w:r>
      <w:r>
        <w:t xml:space="preserve"> </w:t>
      </w:r>
      <w:r>
        <w:t xml:space="preserve">Magnitude</w:t>
      </w:r>
      <w:r>
        <w:t xml:space="preserve"> </w:t>
      </w:r>
      <w:r>
        <w:t xml:space="preserve">and</w:t>
      </w:r>
      <w:r>
        <w:t xml:space="preserve"> </w:t>
      </w:r>
      <w:r>
        <w:t xml:space="preserve">Mechanisms</w:t>
      </w:r>
      <w:r>
        <w:t xml:space="preserve">.</w:t>
      </w:r>
      <w:r>
        <w:t xml:space="preserve"> </w:t>
      </w:r>
      <w:r>
        <w:rPr>
          <w:i/>
          <w:iCs/>
        </w:rPr>
        <w:t xml:space="preserve">PLOS ONE</w:t>
      </w:r>
      <w:r>
        <w:t xml:space="preserve">,</w:t>
      </w:r>
      <w:r>
        <w:t xml:space="preserve"> </w:t>
      </w:r>
      <w:r>
        <w:rPr>
          <w:i/>
          <w:iCs/>
        </w:rPr>
        <w:t xml:space="preserve">10</w:t>
      </w:r>
      <w:r>
        <w:t xml:space="preserve">(7), e0131527.</w:t>
      </w:r>
      <w:r>
        <w:t xml:space="preserve"> </w:t>
      </w:r>
      <w:hyperlink r:id="rId65">
        <w:r>
          <w:rPr>
            <w:rStyle w:val="Hyperlink"/>
          </w:rPr>
          <w:t xml:space="preserve">https://doi.org/10.1371/journal.pone.0131527</w:t>
        </w:r>
      </w:hyperlink>
    </w:p>
    <w:bookmarkEnd w:id="66"/>
    <w:bookmarkStart w:id="68" w:name="ref-rcoreteamRLanguageEnvironment2026"/>
    <w:p>
      <w:pPr>
        <w:pStyle w:val="Bibliography"/>
      </w:pPr>
      <w:r>
        <w:t xml:space="preserve">R Core Team. (2026).</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t xml:space="preserve">. R Foundation for Statistical Computing.</w:t>
      </w:r>
      <w:r>
        <w:t xml:space="preserve"> </w:t>
      </w:r>
      <w:hyperlink r:id="rId67">
        <w:r>
          <w:rPr>
            <w:rStyle w:val="Hyperlink"/>
          </w:rPr>
          <w:t xml:space="preserve">https://doi.org/10.32614/R.manuals</w:t>
        </w:r>
      </w:hyperlink>
    </w:p>
    <w:bookmarkEnd w:id="68"/>
    <w:bookmarkStart w:id="69" w:name="ref-sandvikHighSurvivalImmatures2008"/>
    <w:p>
      <w:pPr>
        <w:pStyle w:val="Bibliography"/>
      </w:pPr>
      <w:r>
        <w:t xml:space="preserve">Sandvik, H., Erikstad, K. E., Fauchald, P., &amp; Tveraa, T. (2008). High survival of immatures in a long-lived seabird: Insights from a long-term study of the</w:t>
      </w:r>
      <w:r>
        <w:t xml:space="preserve"> </w:t>
      </w:r>
      <w:r>
        <w:t xml:space="preserve">Atlantic</w:t>
      </w:r>
      <w:r>
        <w:t xml:space="preserve"> </w:t>
      </w:r>
      <w:r>
        <w:t xml:space="preserve">puffin (</w:t>
      </w:r>
      <w:r>
        <w:t xml:space="preserve">Fratercula</w:t>
      </w:r>
      <w:r>
        <w:t xml:space="preserve"> </w:t>
      </w:r>
      <w:r>
        <w:t xml:space="preserve">arctica).</w:t>
      </w:r>
      <w:r>
        <w:t xml:space="preserve"> </w:t>
      </w:r>
      <w:r>
        <w:rPr>
          <w:i/>
          <w:iCs/>
        </w:rPr>
        <w:t xml:space="preserve">Auk</w:t>
      </w:r>
      <w:r>
        <w:t xml:space="preserve">,</w:t>
      </w:r>
      <w:r>
        <w:t xml:space="preserve"> </w:t>
      </w:r>
      <w:r>
        <w:rPr>
          <w:i/>
          <w:iCs/>
        </w:rPr>
        <w:t xml:space="preserve">125</w:t>
      </w:r>
      <w:r>
        <w:t xml:space="preserve">, 723–730.</w:t>
      </w:r>
    </w:p>
    <w:bookmarkEnd w:id="69"/>
    <w:bookmarkStart w:id="71" w:name="X3ede5c96a343fbec70bed9a420846eae3dca84b"/>
    <w:p>
      <w:pPr>
        <w:pStyle w:val="Bibliography"/>
      </w:pPr>
      <w:r>
        <w:t xml:space="preserve">Taylor, L. U., &amp; Gnam, E. (2026). Prebreeding populations and the importance of life history for conserving imperiled seabirds.</w:t>
      </w:r>
      <w:r>
        <w:t xml:space="preserve"> </w:t>
      </w:r>
      <w:r>
        <w:rPr>
          <w:i/>
          <w:iCs/>
        </w:rPr>
        <w:t xml:space="preserve">Frontiers in Ecology and the Environment</w:t>
      </w:r>
      <w:r>
        <w:t xml:space="preserve">,</w:t>
      </w:r>
      <w:r>
        <w:t xml:space="preserve"> </w:t>
      </w:r>
      <w:r>
        <w:rPr>
          <w:i/>
          <w:iCs/>
        </w:rPr>
        <w:t xml:space="preserve">24</w:t>
      </w:r>
      <w:r>
        <w:t xml:space="preserve">(6), e70049.</w:t>
      </w:r>
      <w:r>
        <w:t xml:space="preserve"> </w:t>
      </w:r>
      <w:hyperlink r:id="rId70">
        <w:r>
          <w:rPr>
            <w:rStyle w:val="Hyperlink"/>
          </w:rPr>
          <w:t xml:space="preserve">https://doi.org/10.1002/fee.70049</w:t>
        </w:r>
      </w:hyperlink>
    </w:p>
    <w:bookmarkEnd w:id="71"/>
    <w:bookmarkStart w:id="73" w:name="ref-vanfraneker2004"/>
    <w:p>
      <w:pPr>
        <w:pStyle w:val="Bibliography"/>
      </w:pPr>
      <w:r>
        <w:t xml:space="preserve">Van Franeker, J. A. (2004).</w:t>
      </w:r>
      <w:r>
        <w:t xml:space="preserve"> </w:t>
      </w:r>
      <w:r>
        <w:rPr>
          <w:i/>
          <w:iCs/>
        </w:rPr>
        <w:t xml:space="preserve">Save the north sea fulmar study 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72">
        <w:r>
          <w:rPr>
            <w:rStyle w:val="Hyperlink"/>
          </w:rPr>
          <w:t xml:space="preserve">https://edepot.wur.nl/40451</w:t>
        </w:r>
      </w:hyperlink>
    </w:p>
    <w:bookmarkEnd w:id="73"/>
    <w:bookmarkStart w:id="75"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74">
        <w:r>
          <w:rPr>
            <w:rStyle w:val="Hyperlink"/>
          </w:rPr>
          <w:t xml:space="preserve">https://doi.org/10.1007/s11222-016-9696-4</w:t>
        </w:r>
      </w:hyperlink>
    </w:p>
    <w:bookmarkEnd w:id="75"/>
    <w:bookmarkStart w:id="77" w:name="Xb381b5d8d6d3401bbb0133a1c086c6f6782b533"/>
    <w:p>
      <w:pPr>
        <w:pStyle w:val="Bibliography"/>
      </w:pPr>
      <w:r>
        <w:t xml:space="preserve">Vehtari, A., Gelman, A., Simpson, D., Carpenter, B., &amp; Bürkner, P.-C. (2021). Rank-</w:t>
      </w:r>
      <w:r>
        <w:t xml:space="preserve">Normalization</w:t>
      </w:r>
      <w:r>
        <w:t xml:space="preserve">,</w:t>
      </w:r>
      <w:r>
        <w:t xml:space="preserve"> </w:t>
      </w:r>
      <w:r>
        <w:t xml:space="preserve">Folding</w:t>
      </w:r>
      <w:r>
        <w:t xml:space="preserve">, and</w:t>
      </w:r>
      <w:r>
        <w:t xml:space="preserve"> </w:t>
      </w:r>
      <w:r>
        <w:t xml:space="preserve">Localization</w:t>
      </w:r>
      <w:r>
        <w:t xml:space="preserve">:</w:t>
      </w:r>
      <w:r>
        <w:t xml:space="preserve"> </w:t>
      </w:r>
      <w:r>
        <w:t xml:space="preserve">An Improved Rˆ</w:t>
      </w:r>
      <w:r>
        <w:t xml:space="preserve"> </w:t>
      </w:r>
      <w:r>
        <w:t xml:space="preserve">for</w:t>
      </w:r>
      <w:r>
        <w:t xml:space="preserve"> </w:t>
      </w:r>
      <w:r>
        <w:t xml:space="preserve">Assessing Convergence</w:t>
      </w:r>
      <w:r>
        <w:t xml:space="preserve"> </w:t>
      </w:r>
      <w:r>
        <w:t xml:space="preserve">of</w:t>
      </w:r>
      <w:r>
        <w:t xml:space="preserve"> </w:t>
      </w:r>
      <w:r>
        <w:t xml:space="preserve">MCMC</w:t>
      </w:r>
      <w:r>
        <w:t xml:space="preserve"> </w:t>
      </w:r>
      <w:r>
        <w:t xml:space="preserve">(with</w:t>
      </w:r>
      <w:r>
        <w:t xml:space="preserve"> </w:t>
      </w:r>
      <w:r>
        <w:t xml:space="preserve">Discussion</w:t>
      </w:r>
      <w:r>
        <w:t xml:space="preserve">).</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76">
        <w:r>
          <w:rPr>
            <w:rStyle w:val="Hyperlink"/>
          </w:rPr>
          <w:t xml:space="preserve">https://doi.org/10.1214/20-BA1221</w:t>
        </w:r>
      </w:hyperlink>
    </w:p>
    <w:bookmarkEnd w:id="77"/>
    <w:bookmarkStart w:id="78"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78"/>
    <w:bookmarkEnd w:id="79"/>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 (</w:t>
      </w:r>
      <w:r>
        <w:rPr>
          <w:i/>
          <w:iCs/>
        </w:rPr>
        <w:t xml:space="preserve">Fratercula arctica</w:t>
      </w:r>
      <w:r>
        <w:t xml:space="preserve">) of confirmed breeding age in Føroyar. Bars show the observed percentage of breeding females per year. The solid line shows the estimate from a Bayesian generalised linear model and the shaded band shows the 95% credible interval. The estimates are marginalised over each study year’s observed brood patch composition. The vertical bars show the percentage of females of confirmed breeding age in the sample.</w:t>
      </w:r>
    </w:p>
    <w:p>
      <w:pPr>
        <w:pStyle w:val="BodyText"/>
      </w:pPr>
      <w:r>
        <w:t xml:space="preserve">Fig. 3. Temporal change in the probability of harvesting female Atlantic puffins (</w:t>
      </w:r>
      <w:r>
        <w:rPr>
          <w:i/>
          <w:iCs/>
        </w:rPr>
        <w:t xml:space="preserve">Fratercula arctica</w:t>
      </w:r>
      <w:r>
        <w:t xml:space="preserve">) of confirmed breeding age in Føroyar, with or without brood patches. The solid lines show the estimates from a Bayesian generalised linear model and the shaded band shows the 95% credible intervals.</w:t>
      </w:r>
    </w:p>
    <w:p>
      <w:pPr>
        <w:pStyle w:val="BodyText"/>
      </w:pPr>
      <w:r>
        <w:t xml:space="preserve">Fig. 4. Temporal change in brood patch presence in female Atlantic puffins (</w:t>
      </w:r>
      <w:r>
        <w:rPr>
          <w:i/>
          <w:iCs/>
        </w:rPr>
        <w:t xml:space="preserve">Fratercula arctica</w:t>
      </w:r>
      <w:r>
        <w:t xml:space="preserve">) of confirmed breeding age harvested in Føroyar.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84" w:name="fig-map"/>
          <w:p>
            <w:pPr>
              <w:pStyle w:val="Compact"/>
              <w:jc w:val="center"/>
            </w:pPr>
            <w:bookmarkStart w:id="83" w:name="fig-map"/>
            <w:r>
              <w:drawing>
                <wp:inline>
                  <wp:extent cx="5943600" cy="6028508"/>
                  <wp:effectExtent b="0" l="0" r="0" t="0"/>
                  <wp:docPr descr="" title="" id="81" name="Picture"/>
                  <a:graphic>
                    <a:graphicData uri="http://schemas.openxmlformats.org/drawingml/2006/picture">
                      <pic:pic>
                        <pic:nvPicPr>
                          <pic:cNvPr descr="manuscript_files/figure-docx/fig-map-1.png" id="82" name="Picture"/>
                          <pic:cNvPicPr>
                            <a:picLocks noChangeArrowheads="1" noChangeAspect="1"/>
                          </pic:cNvPicPr>
                        </pic:nvPicPr>
                        <pic:blipFill>
                          <a:blip r:embed="rId80"/>
                          <a:stretch>
                            <a:fillRect/>
                          </a:stretch>
                        </pic:blipFill>
                        <pic:spPr bwMode="auto">
                          <a:xfrm>
                            <a:off x="0" y="0"/>
                            <a:ext cx="5943600" cy="6028508"/>
                          </a:xfrm>
                          <a:prstGeom prst="rect">
                            <a:avLst/>
                          </a:prstGeom>
                          <a:noFill/>
                          <a:ln w="9525">
                            <a:noFill/>
                            <a:headEnd/>
                            <a:tailEnd/>
                          </a:ln>
                        </pic:spPr>
                      </pic:pic>
                    </a:graphicData>
                  </a:graphic>
                </wp:inline>
              </w:drawing>
            </w:r>
            <w:bookmarkEnd w:id="83"/>
          </w:p>
          <w:p>
            <w:pPr>
              <w:jc w:val="center"/>
            </w:pPr>
            <w:pPr>
              <w:jc w:val="left"/>
              <w:spacing w:before="200"/>
              <w:pStyle w:val="ImageCaption"/>
            </w:pPr>
            <w:r>
              <w:rPr>
                <w:b/>
                <w:bCs/>
              </w:rPr>
              <w:t xml:space="preserve">Fig.</w:t>
            </w:r>
            <w:r>
              <w:t xml:space="preserve"> 1</w:t>
            </w:r>
          </w:p>
          <w:bookmarkEnd w:id="84"/>
        </w:tc>
      </w:tr>
    </w:tbl>
    <w:p>
      <w:r>
        <w:br w:type="page"/>
      </w:r>
    </w:p>
    <w:tbl>
      <w:tblPr>
        <w:tblStyle w:val="Table"/>
        <w:tblW w:type="pct" w:w="5000"/>
        <w:tblLayout w:type="fixed"/>
        <w:tblLook w:firstRow="0" w:lastRow="0" w:firstColumn="0" w:lastColumn="0" w:noHBand="0" w:noVBand="0" w:val="0000"/>
      </w:tblPr>
      <w:tblGrid>
        <w:gridCol w:w="7920"/>
      </w:tblGrid>
      <w:tr>
        <w:tc>
          <w:tcPr/>
          <w:bookmarkStart w:id="89" w:name="fig-marg-bar"/>
          <w:p>
            <w:pPr>
              <w:pStyle w:val="Compact"/>
              <w:jc w:val="center"/>
            </w:pPr>
            <w:bookmarkStart w:id="88" w:name="fig-marg-bar"/>
            <w:r>
              <w:drawing>
                <wp:inline>
                  <wp:extent cx="5943600" cy="4245428"/>
                  <wp:effectExtent b="0" l="0" r="0" t="0"/>
                  <wp:docPr descr="" title="" id="86" name="Picture"/>
                  <a:graphic>
                    <a:graphicData uri="http://schemas.openxmlformats.org/drawingml/2006/picture">
                      <pic:pic>
                        <pic:nvPicPr>
                          <pic:cNvPr descr="manuscript_files/figure-docx/fig-marg-bar-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bookmarkEnd w:id="88"/>
          </w:p>
          <w:p>
            <w:pPr>
              <w:jc w:val="center"/>
            </w:pPr>
            <w:pPr>
              <w:jc w:val="left"/>
              <w:spacing w:before="200"/>
              <w:pStyle w:val="ImageCaption"/>
            </w:pPr>
            <w:r>
              <w:rPr>
                <w:b/>
                <w:bCs/>
              </w:rPr>
              <w:t xml:space="preserve">Fig.</w:t>
            </w:r>
            <w:r>
              <w:t xml:space="preserve"> 2</w:t>
            </w:r>
          </w:p>
          <w:bookmarkEnd w:id="89"/>
        </w:tc>
      </w:tr>
    </w:tbl>
    <w:p>
      <w:r>
        <w:br w:type="page"/>
      </w:r>
    </w:p>
    <w:tbl>
      <w:tblPr>
        <w:tblStyle w:val="Table"/>
        <w:tblW w:type="pct" w:w="5000"/>
        <w:tblLayout w:type="fixed"/>
        <w:tblLook w:firstRow="0" w:lastRow="0" w:firstColumn="0" w:lastColumn="0" w:noHBand="0" w:noVBand="0" w:val="0000"/>
      </w:tblPr>
      <w:tblGrid>
        <w:gridCol w:w="7920"/>
      </w:tblGrid>
      <w:tr>
        <w:tc>
          <w:tcPr/>
          <w:bookmarkStart w:id="94" w:name="fig-pred1"/>
          <w:p>
            <w:pPr>
              <w:pStyle w:val="Compact"/>
              <w:jc w:val="center"/>
            </w:pPr>
            <w:bookmarkStart w:id="93" w:name="fig-pred1"/>
            <w:r>
              <w:drawing>
                <wp:inline>
                  <wp:extent cx="5943600" cy="4245428"/>
                  <wp:effectExtent b="0" l="0" r="0" t="0"/>
                  <wp:docPr descr="" title="" id="91" name="Picture"/>
                  <a:graphic>
                    <a:graphicData uri="http://schemas.openxmlformats.org/drawingml/2006/picture">
                      <pic:pic>
                        <pic:nvPicPr>
                          <pic:cNvPr descr="manuscript_files/figure-docx/fig-pred1-1.png" id="92" name="Picture"/>
                          <pic:cNvPicPr>
                            <a:picLocks noChangeArrowheads="1" noChangeAspect="1"/>
                          </pic:cNvPicPr>
                        </pic:nvPicPr>
                        <pic:blipFill>
                          <a:blip r:embed="rId90"/>
                          <a:stretch>
                            <a:fillRect/>
                          </a:stretch>
                        </pic:blipFill>
                        <pic:spPr bwMode="auto">
                          <a:xfrm>
                            <a:off x="0" y="0"/>
                            <a:ext cx="5943600" cy="4245428"/>
                          </a:xfrm>
                          <a:prstGeom prst="rect">
                            <a:avLst/>
                          </a:prstGeom>
                          <a:noFill/>
                          <a:ln w="9525">
                            <a:noFill/>
                            <a:headEnd/>
                            <a:tailEnd/>
                          </a:ln>
                        </pic:spPr>
                      </pic:pic>
                    </a:graphicData>
                  </a:graphic>
                </wp:inline>
              </w:drawing>
            </w:r>
            <w:bookmarkEnd w:id="93"/>
          </w:p>
          <w:p>
            <w:pPr>
              <w:jc w:val="center"/>
            </w:pPr>
            <w:pPr>
              <w:jc w:val="left"/>
              <w:spacing w:before="200"/>
              <w:pStyle w:val="ImageCaption"/>
            </w:pPr>
            <w:r>
              <w:rPr>
                <w:b/>
                <w:bCs/>
              </w:rPr>
              <w:t xml:space="preserve">Fig.</w:t>
            </w:r>
            <w:r>
              <w:t xml:space="preserve"> 3</w:t>
            </w:r>
          </w:p>
          <w:bookmarkEnd w:id="94"/>
        </w:tc>
      </w:tr>
    </w:tbl>
    <w:p>
      <w:r>
        <w:br w:type="page"/>
      </w:r>
    </w:p>
    <w:tbl>
      <w:tblPr>
        <w:tblStyle w:val="Table"/>
        <w:tblW w:type="pct" w:w="5000"/>
        <w:tblLayout w:type="fixed"/>
        <w:tblLook w:firstRow="0" w:lastRow="0" w:firstColumn="0" w:lastColumn="0" w:noHBand="0" w:noVBand="0" w:val="0000"/>
      </w:tblPr>
      <w:tblGrid>
        <w:gridCol w:w="7920"/>
      </w:tblGrid>
      <w:tr>
        <w:tc>
          <w:tcPr/>
          <w:bookmarkStart w:id="99" w:name="fig-pred2"/>
          <w:p>
            <w:pPr>
              <w:pStyle w:val="Compact"/>
              <w:jc w:val="center"/>
            </w:pPr>
            <w:bookmarkStart w:id="98" w:name="fig-pred2"/>
            <w:r>
              <w:drawing>
                <wp:inline>
                  <wp:extent cx="5943600" cy="4245428"/>
                  <wp:effectExtent b="0" l="0" r="0" t="0"/>
                  <wp:docPr descr="" title="" id="96" name="Picture"/>
                  <a:graphic>
                    <a:graphicData uri="http://schemas.openxmlformats.org/drawingml/2006/picture">
                      <pic:pic>
                        <pic:nvPicPr>
                          <pic:cNvPr descr="manuscript_files/figure-docx/fig-pred2-1.png" id="97" name="Picture"/>
                          <pic:cNvPicPr>
                            <a:picLocks noChangeArrowheads="1" noChangeAspect="1"/>
                          </pic:cNvPicPr>
                        </pic:nvPicPr>
                        <pic:blipFill>
                          <a:blip r:embed="rId95"/>
                          <a:stretch>
                            <a:fillRect/>
                          </a:stretch>
                        </pic:blipFill>
                        <pic:spPr bwMode="auto">
                          <a:xfrm>
                            <a:off x="0" y="0"/>
                            <a:ext cx="5943600" cy="4245428"/>
                          </a:xfrm>
                          <a:prstGeom prst="rect">
                            <a:avLst/>
                          </a:prstGeom>
                          <a:noFill/>
                          <a:ln w="9525">
                            <a:noFill/>
                            <a:headEnd/>
                            <a:tailEnd/>
                          </a:ln>
                        </pic:spPr>
                      </pic:pic>
                    </a:graphicData>
                  </a:graphic>
                </wp:inline>
              </w:drawing>
            </w:r>
            <w:bookmarkEnd w:id="98"/>
          </w:p>
          <w:p>
            <w:pPr>
              <w:jc w:val="center"/>
            </w:pPr>
            <w:pPr>
              <w:jc w:val="left"/>
              <w:spacing w:before="200"/>
              <w:pStyle w:val="ImageCaption"/>
            </w:pPr>
            <w:r>
              <w:rPr>
                <w:b/>
                <w:bCs/>
              </w:rPr>
              <w:t xml:space="preserve">Fig.</w:t>
            </w:r>
            <w:r>
              <w:t xml:space="preserve"> 4</w:t>
            </w:r>
          </w:p>
          <w:bookmarkEnd w:id="99"/>
        </w:tc>
      </w:tr>
    </w:tbl>
    <w:p>
      <w:r>
        <w:br w:type="page"/>
      </w:r>
    </w:p>
    <w:tbl>
      <w:tblPr>
        <w:tblStyle w:val="Table"/>
        <w:tblW w:type="pct" w:w="5000"/>
        <w:tblLayout w:type="fixed"/>
        <w:tblLook w:firstRow="0" w:lastRow="0" w:firstColumn="0" w:lastColumn="0" w:noHBand="0" w:noVBand="0" w:val="0000"/>
      </w:tblPr>
      <w:tblGrid>
        <w:gridCol w:w="7920"/>
      </w:tblGrid>
      <w:tr>
        <w:tc>
          <w:tcPr/>
          <w:bookmarkStart w:id="100" w:name="tbl-harvest"/>
          <w:p>
            <w:pPr>
              <w:jc w:val="center"/>
            </w:pPr>
            <w:pPr>
              <w:jc w:val="left"/>
              <w:spacing w:before="200"/>
              <w:pStyle w:val="ImageCaption"/>
            </w:pPr>
            <w:r>
              <w:t xml:space="preserve">TABLE 1. Estimated annual puffin harvest and sample sizes, Nólsoy (1989–2006) and Mykines (2007–2008), Føroyar. Sample sizes are presented for the total sample size and the number of females in the sample. The percentage of females that had bred is shown as % (n).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Year</w:t>
                  </w:r>
                </w:p>
              </w:tc>
              <w:tc>
                <w:tcPr/>
                <w:p>
                  <w:pPr>
                    <w:pStyle w:val="Compact"/>
                    <w:jc w:val="right"/>
                    <w:jc w:val="center"/>
                  </w:pPr>
                  <w:r>
                    <w:t xml:space="preserve">Estimated harvest</w:t>
                  </w:r>
                </w:p>
              </w:tc>
              <w:tc>
                <w:tcPr/>
                <w:p>
                  <w:pPr>
                    <w:pStyle w:val="Compact"/>
                    <w:jc w:val="right"/>
                    <w:jc w:val="center"/>
                  </w:pPr>
                  <w:r>
                    <w:t xml:space="preserve">Sample size</w:t>
                  </w:r>
                </w:p>
              </w:tc>
              <w:tc>
                <w:tcPr/>
                <w:p>
                  <w:pPr>
                    <w:pStyle w:val="Compact"/>
                    <w:jc w:val="right"/>
                    <w:jc w:val="center"/>
                  </w:pPr>
                  <w:r>
                    <w:t xml:space="preserve">Females</w:t>
                  </w:r>
                </w:p>
              </w:tc>
              <w:tc>
                <w:tcPr/>
                <w:p>
                  <w:pPr>
                    <w:pStyle w:val="Compact"/>
                    <w:jc w:val="left"/>
                    <w:jc w:val="center"/>
                  </w:pPr>
                  <w:r>
                    <w:t xml:space="preserve">% Bred (n)</w:t>
                  </w:r>
                </w:p>
              </w:tc>
            </w:tr>
            <w:tr>
              <w:tc>
                <w:tcPr/>
                <w:p>
                  <w:pPr>
                    <w:pStyle w:val="Compact"/>
                    <w:jc w:val="right"/>
                    <w:jc w:val="center"/>
                  </w:pPr>
                  <w:r>
                    <w:t xml:space="preserve">1989</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1990</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1991</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1992</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1993</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1994</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1995</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left"/>
                    <w:jc w:val="center"/>
                  </w:pPr>
                  <w:r>
                    <w:t xml:space="preserve">17% (31)</w:t>
                  </w:r>
                </w:p>
              </w:tc>
            </w:tr>
            <w:tr>
              <w:tc>
                <w:tcPr/>
                <w:p>
                  <w:pPr>
                    <w:pStyle w:val="Compact"/>
                    <w:jc w:val="right"/>
                    <w:jc w:val="center"/>
                  </w:pPr>
                  <w:r>
                    <w:t xml:space="preserve">1996</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left"/>
                    <w:jc w:val="center"/>
                  </w:pPr>
                  <w:r>
                    <w:t xml:space="preserve">7% (13)</w:t>
                  </w:r>
                </w:p>
              </w:tc>
            </w:tr>
            <w:tr>
              <w:tc>
                <w:tcPr/>
                <w:p>
                  <w:pPr>
                    <w:pStyle w:val="Compact"/>
                    <w:jc w:val="right"/>
                    <w:jc w:val="center"/>
                  </w:pPr>
                  <w:r>
                    <w:t xml:space="preserve">1997</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left"/>
                    <w:jc w:val="center"/>
                  </w:pPr>
                  <w:r>
                    <w:t xml:space="preserve">14% (27)</w:t>
                  </w:r>
                </w:p>
              </w:tc>
            </w:tr>
            <w:tr>
              <w:tc>
                <w:tcPr/>
                <w:p>
                  <w:pPr>
                    <w:pStyle w:val="Compact"/>
                    <w:jc w:val="right"/>
                    <w:jc w:val="center"/>
                  </w:pPr>
                  <w:r>
                    <w:t xml:space="preserve">1998</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left"/>
                    <w:jc w:val="center"/>
                  </w:pPr>
                  <w:r>
                    <w:t xml:space="preserve">18% (40)</w:t>
                  </w:r>
                </w:p>
              </w:tc>
            </w:tr>
            <w:tr>
              <w:tc>
                <w:tcPr/>
                <w:p>
                  <w:pPr>
                    <w:pStyle w:val="Compact"/>
                    <w:jc w:val="right"/>
                    <w:jc w:val="center"/>
                  </w:pPr>
                  <w:r>
                    <w:t xml:space="preserve">1999</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left"/>
                    <w:jc w:val="center"/>
                  </w:pPr>
                  <w:r>
                    <w:t xml:space="preserve">28% (53)</w:t>
                  </w:r>
                </w:p>
              </w:tc>
            </w:tr>
            <w:tr>
              <w:tc>
                <w:tcPr/>
                <w:p>
                  <w:pPr>
                    <w:pStyle w:val="Compact"/>
                    <w:jc w:val="right"/>
                    <w:jc w:val="center"/>
                  </w:pPr>
                  <w:r>
                    <w:t xml:space="preserve">2000</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left"/>
                    <w:jc w:val="center"/>
                  </w:pPr>
                  <w:r>
                    <w:t xml:space="preserve">35% (74)</w:t>
                  </w:r>
                </w:p>
              </w:tc>
            </w:tr>
            <w:tr>
              <w:tc>
                <w:tcPr/>
                <w:p>
                  <w:pPr>
                    <w:pStyle w:val="Compact"/>
                    <w:jc w:val="right"/>
                    <w:jc w:val="center"/>
                  </w:pPr>
                  <w:r>
                    <w:t xml:space="preserve">2001</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left"/>
                    <w:jc w:val="center"/>
                  </w:pPr>
                  <w:r>
                    <w:t xml:space="preserve">13% (23)</w:t>
                  </w:r>
                </w:p>
              </w:tc>
            </w:tr>
            <w:tr>
              <w:tc>
                <w:tcPr/>
                <w:p>
                  <w:pPr>
                    <w:pStyle w:val="Compact"/>
                    <w:jc w:val="right"/>
                    <w:jc w:val="center"/>
                  </w:pPr>
                  <w:r>
                    <w:t xml:space="preserve">2002</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left"/>
                    <w:jc w:val="center"/>
                  </w:pPr>
                  <w:r>
                    <w:t xml:space="preserve">13% (23)</w:t>
                  </w:r>
                </w:p>
              </w:tc>
            </w:tr>
            <w:tr>
              <w:tc>
                <w:tcPr/>
                <w:p>
                  <w:pPr>
                    <w:pStyle w:val="Compact"/>
                    <w:jc w:val="right"/>
                    <w:jc w:val="center"/>
                  </w:pPr>
                  <w:r>
                    <w:t xml:space="preserve">2003</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left"/>
                    <w:jc w:val="center"/>
                  </w:pPr>
                  <w:r>
                    <w:t xml:space="preserve">18% (18)</w:t>
                  </w:r>
                </w:p>
              </w:tc>
            </w:tr>
            <w:tr>
              <w:tc>
                <w:tcPr/>
                <w:p>
                  <w:pPr>
                    <w:pStyle w:val="Compact"/>
                    <w:jc w:val="right"/>
                    <w:jc w:val="center"/>
                  </w:pPr>
                  <w:r>
                    <w:t xml:space="preserve">2004</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left"/>
                    <w:jc w:val="center"/>
                  </w:pPr>
                  <w:r>
                    <w:t xml:space="preserve">23% (33)</w:t>
                  </w:r>
                </w:p>
              </w:tc>
            </w:tr>
            <w:tr>
              <w:tc>
                <w:tcPr/>
                <w:p>
                  <w:pPr>
                    <w:pStyle w:val="Compact"/>
                    <w:jc w:val="right"/>
                    <w:jc w:val="center"/>
                  </w:pPr>
                  <w:r>
                    <w:t xml:space="preserve">2005</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left"/>
                    <w:jc w:val="center"/>
                  </w:pPr>
                  <w:r>
                    <w:t xml:space="preserve">42% (36)</w:t>
                  </w:r>
                </w:p>
              </w:tc>
            </w:tr>
            <w:tr>
              <w:tc>
                <w:tcPr/>
                <w:p>
                  <w:pPr>
                    <w:pStyle w:val="Compact"/>
                    <w:jc w:val="right"/>
                    <w:jc w:val="center"/>
                  </w:pPr>
                  <w:r>
                    <w:t xml:space="preserve">2006</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left"/>
                    <w:jc w:val="center"/>
                  </w:pPr>
                  <w:r>
                    <w:t xml:space="preserve">66% (49)</w:t>
                  </w:r>
                </w:p>
              </w:tc>
            </w:tr>
            <w:tr>
              <w:tc>
                <w:tcPr/>
                <w:p>
                  <w:pPr>
                    <w:pStyle w:val="Compact"/>
                    <w:jc w:val="right"/>
                    <w:jc w:val="center"/>
                  </w:pPr>
                  <w:r>
                    <w:t xml:space="preserve">2007</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left"/>
                    <w:jc w:val="center"/>
                  </w:pPr>
                  <w:r>
                    <w:t xml:space="preserve">40% (2)</w:t>
                  </w:r>
                </w:p>
              </w:tc>
            </w:tr>
            <w:tr>
              <w:tc>
                <w:tcPr/>
                <w:p>
                  <w:pPr>
                    <w:pStyle w:val="Compact"/>
                    <w:jc w:val="right"/>
                    <w:jc w:val="center"/>
                  </w:pPr>
                  <w:r>
                    <w:t xml:space="preserve">2008</w:t>
                  </w:r>
                </w:p>
              </w:tc>
              <w:tc>
                <w:tcPr/>
                <w:p>
                  <w:pPr>
                    <w:pStyle w:val="Compact"/>
                    <w:jc w:val="right"/>
                    <w:jc w:val="center"/>
                  </w:pPr>
                  <w:r>
                    <w:t xml:space="preserve">335</w:t>
                  </w:r>
                </w:p>
              </w:tc>
              <w:tc>
                <w:tcPr/>
                <w:p>
                  <w:pPr>
                    <w:pStyle w:val="Compact"/>
                    <w:jc w:val="right"/>
                    <w:jc w:val="center"/>
                  </w:pPr>
                  <w:r>
                    <w:t xml:space="preserve">140</w:t>
                  </w:r>
                </w:p>
              </w:tc>
              <w:tc>
                <w:tcPr/>
                <w:p>
                  <w:pPr>
                    <w:pStyle w:val="Compact"/>
                    <w:jc w:val="right"/>
                    <w:jc w:val="center"/>
                  </w:pPr>
                  <w:r>
                    <w:t xml:space="preserve">60</w:t>
                  </w:r>
                </w:p>
              </w:tc>
              <w:tc>
                <w:tcPr/>
                <w:p>
                  <w:pPr>
                    <w:pStyle w:val="Compact"/>
                    <w:jc w:val="left"/>
                    <w:jc w:val="center"/>
                  </w:pPr>
                  <w:r>
                    <w:t xml:space="preserve">78% (47)</w:t>
                  </w:r>
                </w:p>
              </w:tc>
            </w:tr>
          </w:tbl>
          <w:bookmarkEnd w:id="100"/>
          <w:p/>
        </w:tc>
      </w:tr>
    </w:tbl>
    <w:p>
      <w:r>
        <w:br w:type="page"/>
      </w:r>
    </w:p>
    <w:tbl>
      <w:tblPr>
        <w:tblStyle w:val="Table"/>
        <w:tblW w:type="pct" w:w="5000"/>
        <w:tblLayout w:type="fixed"/>
        <w:tblLook w:firstRow="0" w:lastRow="0" w:firstColumn="0" w:lastColumn="0" w:noHBand="0" w:noVBand="0" w:val="0000"/>
      </w:tblPr>
      <w:tblGrid>
        <w:gridCol w:w="7920"/>
      </w:tblGrid>
      <w:tr>
        <w:tc>
          <w:tcPr/>
          <w:bookmarkStart w:id="101" w:name="tbl-odds1"/>
          <w:p>
            <w:pPr>
              <w:jc w:val="center"/>
            </w:pPr>
            <w:pPr>
              <w:jc w:val="left"/>
              <w:spacing w:before="200"/>
              <w:pStyle w:val="ImageCaption"/>
            </w:pPr>
            <w:r>
              <w:t xml:space="preserve">TABLE 2. Odds ratios for all fixed effects of the Bayesian generalised linear model testing temporal changes in the breeding status of Atlantic puffins (</w:t>
            </w:r>
            <w:r>
              <w:rPr>
                <w:i/>
                <w:iCs/>
              </w:rPr>
              <w:t xml:space="preserve">Fratercula arctica</w:t>
            </w:r>
            <w:r>
              <w:t xml:space="preserve">) harvest in Føroyar (1995-2008). The model included breeding status (0 = never bred, 1 = has bred) as response variable, and year, brood patch (0 = absent, 1 = present), and their interaction as covariates.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5.55</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 (BP)</w:t>
                  </w:r>
                </w:p>
              </w:tc>
              <w:tc>
                <w:tcPr/>
                <w:p>
                  <w:pPr>
                    <w:pStyle w:val="Compact"/>
                    <w:jc w:val="right"/>
                    <w:jc w:val="center"/>
                  </w:pPr>
                  <w:r>
                    <w:t xml:space="preserve">24.85</w:t>
                  </w:r>
                </w:p>
              </w:tc>
              <w:tc>
                <w:tcPr/>
                <w:p>
                  <w:pPr>
                    <w:pStyle w:val="Compact"/>
                    <w:jc w:val="right"/>
                    <w:jc w:val="center"/>
                  </w:pPr>
                  <w:r>
                    <w:t xml:space="preserve">16.99</w:t>
                  </w:r>
                </w:p>
              </w:tc>
              <w:tc>
                <w:tcPr/>
                <w:p>
                  <w:pPr>
                    <w:pStyle w:val="Compact"/>
                    <w:jc w:val="right"/>
                    <w:jc w:val="center"/>
                  </w:pPr>
                  <w:r>
                    <w:t xml:space="preserve">37.13</w:t>
                  </w:r>
                </w:p>
              </w:tc>
            </w:tr>
            <w:tr>
              <w:tc>
                <w:tcPr/>
                <w:p>
                  <w:pPr>
                    <w:pStyle w:val="Compact"/>
                    <w:jc w:val="left"/>
                    <w:jc w:val="center"/>
                  </w:pPr>
                  <w:r>
                    <w:t xml:space="preserve">Year: BP</w:t>
                  </w:r>
                </w:p>
              </w:tc>
              <w:tc>
                <w:tcPr/>
                <w:p>
                  <w:pPr>
                    <w:pStyle w:val="Compact"/>
                    <w:jc w:val="right"/>
                    <w:jc w:val="center"/>
                  </w:pPr>
                  <w:r>
                    <w:t xml:space="preserve">0.46</w:t>
                  </w:r>
                </w:p>
              </w:tc>
              <w:tc>
                <w:tcPr/>
                <w:p>
                  <w:pPr>
                    <w:pStyle w:val="Compact"/>
                    <w:jc w:val="right"/>
                    <w:jc w:val="center"/>
                  </w:pPr>
                  <w:r>
                    <w:t xml:space="preserve">0.17</w:t>
                  </w:r>
                </w:p>
              </w:tc>
              <w:tc>
                <w:tcPr/>
                <w:p>
                  <w:pPr>
                    <w:pStyle w:val="Compact"/>
                    <w:jc w:val="right"/>
                    <w:jc w:val="center"/>
                  </w:pPr>
                  <w:r>
                    <w:t xml:space="preserve">1.32</w:t>
                  </w:r>
                </w:p>
              </w:tc>
            </w:tr>
          </w:tbl>
          <w:bookmarkEnd w:id="101"/>
          <w:p/>
        </w:tc>
      </w:tr>
    </w:tbl>
    <w:bookmarkEnd w:id="102"/>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D6863"/>
    <w:rsid w:val="00B86B75"/>
    <w:rsid w:val="00BB090D"/>
    <w:rsid w:val="00BB4DC4"/>
    <w:rsid w:val="00BC48D5"/>
    <w:rsid w:val="00BD2612"/>
    <w:rsid w:val="00C36279"/>
    <w:rsid w:val="00D33870"/>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72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12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hyperlink" Id="rId27" Target="https://datazone.birdlife.org/species/factsheet/atlantic-puffin-fratercula-arctica" TargetMode="External" /><Relationship Type="http://schemas.openxmlformats.org/officeDocument/2006/relationships/hyperlink" Id="rId52" Target="https://doi.org/10.1002/2688-8319.12390" TargetMode="External" /><Relationship Type="http://schemas.openxmlformats.org/officeDocument/2006/relationships/hyperlink" Id="rId31" Target="https://doi.org/10.1002/ecs2.1283" TargetMode="External" /><Relationship Type="http://schemas.openxmlformats.org/officeDocument/2006/relationships/hyperlink" Id="rId70" Target="https://doi.org/10.1002/fee.70049" TargetMode="External" /><Relationship Type="http://schemas.openxmlformats.org/officeDocument/2006/relationships/hyperlink" Id="rId21" Target="https://doi.org/10.1002/wlb3.01546" TargetMode="External" /><Relationship Type="http://schemas.openxmlformats.org/officeDocument/2006/relationships/hyperlink" Id="rId74" Target="https://doi.org/10.1007/s11222-016-9696-4" TargetMode="External" /><Relationship Type="http://schemas.openxmlformats.org/officeDocument/2006/relationships/hyperlink" Id="rId35" Target="https://doi.org/10.1016/j.biocon.2019.06.033" TargetMode="External" /><Relationship Type="http://schemas.openxmlformats.org/officeDocument/2006/relationships/hyperlink" Id="rId33" Target="https://doi.org/10.1016/j.cub.2021.06.059" TargetMode="External" /><Relationship Type="http://schemas.openxmlformats.org/officeDocument/2006/relationships/hyperlink" Id="rId37" Target="https://doi.org/10.1111/j.0030-1299.2004.13119.x" TargetMode="External" /><Relationship Type="http://schemas.openxmlformats.org/officeDocument/2006/relationships/hyperlink" Id="rId47" Target="https://doi.org/10.1111/j.0030-1299.2005.13351.x" TargetMode="External" /><Relationship Type="http://schemas.openxmlformats.org/officeDocument/2006/relationships/hyperlink" Id="rId39" Target="https://doi.org/10.1111/j.1461-0248.2004.00588.x" TargetMode="External" /><Relationship Type="http://schemas.openxmlformats.org/officeDocument/2006/relationships/hyperlink" Id="rId56" Target="https://doi.org/10.1111/j.1469-185X.1971.tb01048.x" TargetMode="External" /><Relationship Type="http://schemas.openxmlformats.org/officeDocument/2006/relationships/hyperlink" Id="rId42" Target="https://doi.org/10.1111/rssa.12378" TargetMode="External" /><Relationship Type="http://schemas.openxmlformats.org/officeDocument/2006/relationships/hyperlink" Id="rId76" Target="https://doi.org/10.1214/20-BA1221" TargetMode="External" /><Relationship Type="http://schemas.openxmlformats.org/officeDocument/2006/relationships/hyperlink" Id="rId65" Target="https://doi.org/10.1371/journal.pone.0131527" TargetMode="External" /><Relationship Type="http://schemas.openxmlformats.org/officeDocument/2006/relationships/hyperlink" Id="rId61" Target="https://doi.org/10.1525/elementa.2021.00033" TargetMode="External" /><Relationship Type="http://schemas.openxmlformats.org/officeDocument/2006/relationships/hyperlink" Id="rId63" Target="https://doi.org/10.1675/1524-4695(2003)026[0108:TROBPI]2.0.CO;2" TargetMode="External" /><Relationship Type="http://schemas.openxmlformats.org/officeDocument/2006/relationships/hyperlink" Id="rId29" Target="https://doi.org/10.18637/jss.v080.i01" TargetMode="External" /><Relationship Type="http://schemas.openxmlformats.org/officeDocument/2006/relationships/hyperlink" Id="rId59" Target="https://doi.org/10.2173/bow.atlpuf.01" TargetMode="External" /><Relationship Type="http://schemas.openxmlformats.org/officeDocument/2006/relationships/hyperlink" Id="rId25" Target="https://doi.org/10.2305/IUCN.UK.2018-2.RLTS.T22694927A132581443.en" TargetMode="External" /><Relationship Type="http://schemas.openxmlformats.org/officeDocument/2006/relationships/hyperlink" Id="rId23" Target="https://doi.org/10.2307/1365062" TargetMode="External" /><Relationship Type="http://schemas.openxmlformats.org/officeDocument/2006/relationships/hyperlink" Id="rId19" Target="https://doi.org/10.2307/3676349" TargetMode="External" /><Relationship Type="http://schemas.openxmlformats.org/officeDocument/2006/relationships/hyperlink" Id="rId67" Target="https://doi.org/10.32614/R.manuals" TargetMode="External" /><Relationship Type="http://schemas.openxmlformats.org/officeDocument/2006/relationships/hyperlink" Id="rId17" Target="https://doi.org/10.5281/zenodo.21780561" TargetMode="External" /><Relationship Type="http://schemas.openxmlformats.org/officeDocument/2006/relationships/hyperlink" Id="rId72" Target="https://edepot.wur.nl/40451" TargetMode="External" /><Relationship Type="http://schemas.openxmlformats.org/officeDocument/2006/relationships/hyperlink" Id="rId16" Target="https://github.com/AnneAus/puffin_female_harvest" TargetMode="External" /><Relationship Type="http://schemas.openxmlformats.org/officeDocument/2006/relationships/hyperlink" Id="rId54" Target="https://www.researchgate.net/publication/381954204_Icelandic_puffin_stock_assessments_2024" TargetMode="External" /><Relationship Type="http://schemas.openxmlformats.org/officeDocument/2006/relationships/hyperlink" Id="rId44"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27" Target="https://datazone.birdlife.org/species/factsheet/atlantic-puffin-fratercula-arctica" TargetMode="External" /><Relationship Type="http://schemas.openxmlformats.org/officeDocument/2006/relationships/hyperlink" Id="rId52" Target="https://doi.org/10.1002/2688-8319.12390" TargetMode="External" /><Relationship Type="http://schemas.openxmlformats.org/officeDocument/2006/relationships/hyperlink" Id="rId31" Target="https://doi.org/10.1002/ecs2.1283" TargetMode="External" /><Relationship Type="http://schemas.openxmlformats.org/officeDocument/2006/relationships/hyperlink" Id="rId70" Target="https://doi.org/10.1002/fee.70049" TargetMode="External" /><Relationship Type="http://schemas.openxmlformats.org/officeDocument/2006/relationships/hyperlink" Id="rId21" Target="https://doi.org/10.1002/wlb3.01546" TargetMode="External" /><Relationship Type="http://schemas.openxmlformats.org/officeDocument/2006/relationships/hyperlink" Id="rId74" Target="https://doi.org/10.1007/s11222-016-9696-4" TargetMode="External" /><Relationship Type="http://schemas.openxmlformats.org/officeDocument/2006/relationships/hyperlink" Id="rId35" Target="https://doi.org/10.1016/j.biocon.2019.06.033" TargetMode="External" /><Relationship Type="http://schemas.openxmlformats.org/officeDocument/2006/relationships/hyperlink" Id="rId33" Target="https://doi.org/10.1016/j.cub.2021.06.059" TargetMode="External" /><Relationship Type="http://schemas.openxmlformats.org/officeDocument/2006/relationships/hyperlink" Id="rId37" Target="https://doi.org/10.1111/j.0030-1299.2004.13119.x" TargetMode="External" /><Relationship Type="http://schemas.openxmlformats.org/officeDocument/2006/relationships/hyperlink" Id="rId47" Target="https://doi.org/10.1111/j.0030-1299.2005.13351.x" TargetMode="External" /><Relationship Type="http://schemas.openxmlformats.org/officeDocument/2006/relationships/hyperlink" Id="rId39" Target="https://doi.org/10.1111/j.1461-0248.2004.00588.x" TargetMode="External" /><Relationship Type="http://schemas.openxmlformats.org/officeDocument/2006/relationships/hyperlink" Id="rId56" Target="https://doi.org/10.1111/j.1469-185X.1971.tb01048.x" TargetMode="External" /><Relationship Type="http://schemas.openxmlformats.org/officeDocument/2006/relationships/hyperlink" Id="rId42" Target="https://doi.org/10.1111/rssa.12378" TargetMode="External" /><Relationship Type="http://schemas.openxmlformats.org/officeDocument/2006/relationships/hyperlink" Id="rId76" Target="https://doi.org/10.1214/20-BA1221" TargetMode="External" /><Relationship Type="http://schemas.openxmlformats.org/officeDocument/2006/relationships/hyperlink" Id="rId65" Target="https://doi.org/10.1371/journal.pone.0131527" TargetMode="External" /><Relationship Type="http://schemas.openxmlformats.org/officeDocument/2006/relationships/hyperlink" Id="rId61" Target="https://doi.org/10.1525/elementa.2021.00033" TargetMode="External" /><Relationship Type="http://schemas.openxmlformats.org/officeDocument/2006/relationships/hyperlink" Id="rId63" Target="https://doi.org/10.1675/1524-4695(2003)026[0108:TROBPI]2.0.CO;2" TargetMode="External" /><Relationship Type="http://schemas.openxmlformats.org/officeDocument/2006/relationships/hyperlink" Id="rId29" Target="https://doi.org/10.18637/jss.v080.i01" TargetMode="External" /><Relationship Type="http://schemas.openxmlformats.org/officeDocument/2006/relationships/hyperlink" Id="rId59" Target="https://doi.org/10.2173/bow.atlpuf.01" TargetMode="External" /><Relationship Type="http://schemas.openxmlformats.org/officeDocument/2006/relationships/hyperlink" Id="rId25" Target="https://doi.org/10.2305/IUCN.UK.2018-2.RLTS.T22694927A132581443.en" TargetMode="External" /><Relationship Type="http://schemas.openxmlformats.org/officeDocument/2006/relationships/hyperlink" Id="rId23" Target="https://doi.org/10.2307/1365062" TargetMode="External" /><Relationship Type="http://schemas.openxmlformats.org/officeDocument/2006/relationships/hyperlink" Id="rId19" Target="https://doi.org/10.2307/3676349" TargetMode="External" /><Relationship Type="http://schemas.openxmlformats.org/officeDocument/2006/relationships/hyperlink" Id="rId67" Target="https://doi.org/10.32614/R.manuals" TargetMode="External" /><Relationship Type="http://schemas.openxmlformats.org/officeDocument/2006/relationships/hyperlink" Id="rId17" Target="https://doi.org/10.5281/zenodo.21780561" TargetMode="External" /><Relationship Type="http://schemas.openxmlformats.org/officeDocument/2006/relationships/hyperlink" Id="rId72" Target="https://edepot.wur.nl/40451" TargetMode="External" /><Relationship Type="http://schemas.openxmlformats.org/officeDocument/2006/relationships/hyperlink" Id="rId16" Target="https://github.com/AnneAus/puffin_female_harvest" TargetMode="External" /><Relationship Type="http://schemas.openxmlformats.org/officeDocument/2006/relationships/hyperlink" Id="rId54" Target="https://www.researchgate.net/publication/381954204_Icelandic_puffin_stock_assessments_2024" TargetMode="External" /><Relationship Type="http://schemas.openxmlformats.org/officeDocument/2006/relationships/hyperlink" Id="rId44"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2026-08-03T20:59:31Z</dcterms:created>
  <dcterms:modified xsi:type="dcterms:W3CDTF">2026-08-03T20:59:31Z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