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2EA552FE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3E0A8C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beta3D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="00647490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,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6474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Paper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7A7C0934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</w:t>
      </w:r>
      <w:r w:rsidR="003E0A8C">
        <w:rPr>
          <w:rFonts w:ascii="Times New Roman" w:hAnsi="Times New Roman" w:cs="Times New Roman"/>
          <w:kern w:val="0"/>
          <w:sz w:val="20"/>
          <w:szCs w:val="20"/>
        </w:rPr>
        <w:t>iNEXT.beta3D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to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6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>Ecological Monographs paper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spellStart"/>
      <w:r w:rsidR="00647490">
        <w:rPr>
          <w:rFonts w:ascii="Times New Roman" w:hAnsi="Times New Roman" w:cs="Times New Roman"/>
          <w:kern w:val="0"/>
          <w:sz w:val="20"/>
          <w:szCs w:val="20"/>
        </w:rPr>
        <w:t>Zenodo</w:t>
      </w:r>
      <w:proofErr w:type="spellEnd"/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Anne Chao’s </w:t>
      </w:r>
      <w:proofErr w:type="spellStart"/>
      <w:r w:rsidR="003F7E2B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repository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 xml:space="preserve"> at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8" w:history="1">
        <w:r w:rsidR="00170B65" w:rsidRPr="00155B9B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https://github.com/AnneChao/ECM_iNEXT.beta3D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kern w:val="0"/>
          <w:sz w:val="20"/>
          <w:szCs w:val="20"/>
        </w:rPr>
        <w:t>on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C8E012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ECF09F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BEFA11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plotly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48C18C5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lmtest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D9F190E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readxl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90FF9B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34AACF20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openxlsx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D8D52C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476A497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06952A1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237DA514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gridExtra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632C47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A8A92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556F254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23F5C6EC" w:rsidR="00AF0531" w:rsidRPr="00093559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7E6EFA7D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devtools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/iNEXT.3D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0AD984E6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D9B7C5F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4DDB7679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572296E1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3E0A8C">
        <w:rPr>
          <w:rFonts w:ascii="Times New Roman" w:hAnsi="Times New Roman" w:cs="Times New Roman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iation measure and thus omitted; see Chao et al. 202</w:t>
      </w:r>
      <w:r w:rsidR="00CA516D">
        <w:rPr>
          <w:rFonts w:ascii="Times New Roman" w:hAnsi="Times New Roman" w:cs="Times New Roman"/>
          <w:color w:val="0000FF"/>
          <w:kern w:val="0"/>
          <w:sz w:val="20"/>
          <w:szCs w:val="20"/>
        </w:rPr>
        <w:t>3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47490">
        <w:rPr>
          <w:rFonts w:ascii="Times New Roman" w:hAnsi="Times New Roman" w:cs="Times New Roman"/>
          <w:color w:val="0000FF"/>
          <w:kern w:val="0"/>
          <w:sz w:val="20"/>
          <w:szCs w:val="20"/>
        </w:rPr>
        <w:t>paper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6AA3001D" w:rsidR="00847791" w:rsidRPr="00A231F1" w:rsidRDefault="003E0A8C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iNEXTbeta3</w:t>
      </w:r>
      <w:proofErr w:type="gramStart"/>
      <w:r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02418"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DA29020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proofErr w:type="gramEnd"/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proofErr w:type="spellStart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proofErr w:type="spellStart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0A6A003D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 xml:space="preserve">Use </w:t>
      </w:r>
      <w:proofErr w:type="gramStart"/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</w:t>
      </w:r>
      <w:r w:rsidR="003E0A8C">
        <w:rPr>
          <w:rFonts w:ascii="Courier New" w:hAnsi="Courier New" w:cs="Courier New"/>
          <w:color w:val="0000FF"/>
          <w:sz w:val="20"/>
          <w:szCs w:val="20"/>
        </w:rPr>
        <w:t>iNEXTbeta</w:t>
      </w:r>
      <w:proofErr w:type="gramEnd"/>
      <w:r w:rsidR="003E0A8C">
        <w:rPr>
          <w:rFonts w:ascii="Courier New" w:hAnsi="Courier New" w:cs="Courier New"/>
          <w:color w:val="0000FF"/>
          <w:sz w:val="20"/>
          <w:szCs w:val="20"/>
        </w:rPr>
        <w:t>3D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37F6E803" w14:textId="77777777" w:rsidR="00CE5B26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ote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Examples for 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>abundance data input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formats: </w:t>
      </w:r>
    </w:p>
    <w:p w14:paraId="533FCC17" w14:textId="77777777" w:rsidR="00CE5B26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(1)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2 for rainforest tree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beta diversity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053044">
        <w:rPr>
          <w:rFonts w:ascii="Times New Roman" w:hAnsi="Times New Roman" w:cs="Times New Roman"/>
          <w:color w:val="0000FF"/>
          <w:kern w:val="0"/>
          <w:sz w:val="20"/>
          <w:szCs w:val="20"/>
        </w:rPr>
        <w:t>/transects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(Edge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and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Interior)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each of the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two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fragments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</w:t>
      </w:r>
      <w:proofErr w:type="spellStart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Marim</w:t>
      </w:r>
      <w:proofErr w:type="spellEnd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Rebio 2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="00633BB3" w:rsidRP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list</w:t>
      </w:r>
      <w:r w:rsidR="00633BB3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633BB3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assemblage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2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/assemblages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site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0D487D0D" w14:textId="3F950724" w:rsidR="00633BB3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4 for beetle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To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of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7508827A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Note 2: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An example for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 xml:space="preserve"> incidence data input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formats: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>(Figure 5 for</w:t>
      </w:r>
      <w:r w:rsidR="00346DC7" w:rsidRP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tree species incidence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 compare temporal beta diversity between a base year (2005) and any subsequent year (2006-2017)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each of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are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7D77C932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CA516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1997F4ED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B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eta diversity </w:t>
      </w:r>
      <w:r w:rsidR="00DB20A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between 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among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subplots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site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in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1C1E75" w:rsidRPr="001C1E75">
        <w:rPr>
          <w:rFonts w:ascii="Times New Roman" w:hAnsi="Times New Roman" w:cs="Times New Roman"/>
          <w:b/>
          <w:color w:val="C00000"/>
          <w:sz w:val="20"/>
          <w:szCs w:val="20"/>
        </w:rPr>
        <w:t>ragmentation of tropical rain forests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in Brazil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53CC4294" w14:textId="5A53A99E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 (a) </w:t>
      </w:r>
      <w:r w:rsidR="00FD1B22">
        <w:rPr>
          <w:rFonts w:ascii="Times New Roman" w:hAnsi="Times New Roman" w:cs="Times New Roman"/>
          <w:kern w:val="0"/>
          <w:sz w:val="20"/>
          <w:szCs w:val="20"/>
        </w:rPr>
        <w:t>plots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 xml:space="preserve">based on </w:t>
      </w:r>
      <w:r w:rsidR="00346DC7">
        <w:rPr>
          <w:rFonts w:ascii="Times New Roman" w:hAnsi="Times New Roman" w:cs="Times New Roman"/>
          <w:sz w:val="20"/>
          <w:szCs w:val="20"/>
        </w:rPr>
        <w:t xml:space="preserve">tree </w:t>
      </w:r>
      <w:r w:rsidR="00F535C5" w:rsidRPr="00761351">
        <w:rPr>
          <w:rFonts w:ascii="Times New Roman" w:hAnsi="Times New Roman" w:cs="Times New Roman"/>
          <w:sz w:val="20"/>
          <w:szCs w:val="20"/>
        </w:rPr>
        <w:t>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</w:t>
      </w:r>
      <w:r w:rsidR="00053044">
        <w:rPr>
          <w:rFonts w:ascii="Times New Roman" w:hAnsi="Times New Roman" w:cs="Times New Roman"/>
          <w:sz w:val="20"/>
          <w:szCs w:val="20"/>
        </w:rPr>
        <w:t xml:space="preserve">transects/habitats in </w:t>
      </w:r>
      <w:proofErr w:type="spellStart"/>
      <w:r w:rsidR="001C1E75" w:rsidRPr="001C1E75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1C1E75" w:rsidRPr="001C1E75">
        <w:rPr>
          <w:rFonts w:ascii="Times New Roman" w:hAnsi="Times New Roman" w:cs="Times New Roman"/>
          <w:sz w:val="20"/>
          <w:szCs w:val="20"/>
        </w:rPr>
        <w:t xml:space="preserve"> and Rebio 2</w:t>
      </w:r>
      <w:r w:rsidR="00053044">
        <w:rPr>
          <w:rFonts w:ascii="Times New Roman" w:hAnsi="Times New Roman" w:cs="Times New Roman"/>
          <w:sz w:val="20"/>
          <w:szCs w:val="20"/>
        </w:rPr>
        <w:t xml:space="preserve"> Fragments</w:t>
      </w:r>
      <w:r w:rsidR="002D6EA8" w:rsidRPr="00761351">
        <w:rPr>
          <w:rFonts w:ascii="Times New Roman" w:hAnsi="Times New Roman" w:cs="Times New Roman"/>
          <w:sz w:val="20"/>
          <w:szCs w:val="20"/>
        </w:rPr>
        <w:t>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 (b)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32991AF8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5249270A" w:rsidR="00A741E8" w:rsidRPr="00CF35BD" w:rsidRDefault="00CA516D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5D462F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073942D2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="00053044">
        <w:rPr>
          <w:rFonts w:ascii="Times New Roman" w:hAnsi="Times New Roman" w:cs="Times New Roman"/>
          <w:sz w:val="20"/>
          <w:szCs w:val="20"/>
        </w:rPr>
        <w:t xml:space="preserve">data for 12 fragments are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stored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</w:t>
      </w:r>
      <w:r w:rsidR="001C1E75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B3F24">
        <w:rPr>
          <w:rFonts w:ascii="Times New Roman" w:hAnsi="Times New Roman" w:cs="Times New Roman"/>
          <w:kern w:val="0"/>
          <w:sz w:val="20"/>
          <w:szCs w:val="20"/>
        </w:rPr>
        <w:t xml:space="preserve">excel file named 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7B3F24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B3F24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rainforest trees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53044">
        <w:rPr>
          <w:rFonts w:ascii="Times New Roman" w:hAnsi="Times New Roman" w:cs="Times New Roman"/>
          <w:sz w:val="20"/>
          <w:szCs w:val="20"/>
        </w:rPr>
        <w:t xml:space="preserve">The file includes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fragment size and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tree-species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>2 habitats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/transects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 xml:space="preserve"> (Edge and Interior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)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 xml:space="preserve">each of the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12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In the paper, only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16 transects (8 Edge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 transects and 8 Interior transects) from fragments with area &gt; 100 ha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 were used for illustration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306146">
        <w:rPr>
          <w:rFonts w:ascii="Times New Roman" w:hAnsi="Times New Roman" w:cs="Times New Roman"/>
          <w:sz w:val="20"/>
          <w:szCs w:val="20"/>
        </w:rPr>
        <w:t xml:space="preserve">un the following code to </w:t>
      </w:r>
      <w:r w:rsidR="00291BF9">
        <w:rPr>
          <w:rFonts w:ascii="Times New Roman" w:hAnsi="Times New Roman" w:cs="Times New Roman"/>
          <w:sz w:val="20"/>
          <w:szCs w:val="20"/>
        </w:rPr>
        <w:t>read</w:t>
      </w:r>
      <w:r w:rsidR="0092754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 xml:space="preserve">tree </w:t>
      </w:r>
      <w:r w:rsidR="00117F1C">
        <w:rPr>
          <w:rFonts w:ascii="Times New Roman" w:hAnsi="Times New Roman" w:cs="Times New Roman"/>
          <w:sz w:val="20"/>
          <w:szCs w:val="20"/>
        </w:rPr>
        <w:t>species abundance data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We transpose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the raw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to conform to the required input format (species-by-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habitat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A6493E8" w:rsidR="00803B6C" w:rsidRPr="00803B6C" w:rsidRDefault="00AB5755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read_</w:t>
      </w:r>
      <w:proofErr w:type="gram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xlsx</w:t>
      </w:r>
      <w:proofErr w:type="spell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"Data </w:t>
      </w:r>
      <w:r w:rsidR="0092754D">
        <w:rPr>
          <w:rFonts w:asciiTheme="majorHAnsi" w:hAnsiTheme="majorHAnsi" w:cstheme="majorHAnsi"/>
          <w:kern w:val="0"/>
          <w:sz w:val="20"/>
          <w:szCs w:val="20"/>
        </w:rPr>
        <w:t>rainforest trees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5EFB226F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lastRenderedPageBreak/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1:12, function(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364D25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, i+12), -(1:4)] %&gt;% t</w:t>
      </w:r>
    </w:p>
    <w:p w14:paraId="2DE6418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'Edge', 'Interior')</w:t>
      </w:r>
    </w:p>
    <w:p w14:paraId="756C9D6C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</w:p>
    <w:p w14:paraId="62E04014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0DBD1A14" w14:textId="5007253E" w:rsidR="00AB5755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names(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raw_data$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Site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1:12]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2A801E8B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sz w:val="20"/>
          <w:szCs w:val="20"/>
        </w:rPr>
        <w:t>for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92754D">
        <w:rPr>
          <w:rFonts w:ascii="Times New Roman" w:hAnsi="Times New Roman" w:cs="Times New Roman"/>
          <w:sz w:val="20"/>
          <w:szCs w:val="20"/>
        </w:rPr>
        <w:t>2 transects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747E50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</w:t>
      </w:r>
      <w:r w:rsidR="00685CC6">
        <w:rPr>
          <w:rFonts w:ascii="Times New Roman" w:hAnsi="Times New Roman" w:cs="Times New Roman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>fragments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4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4932B6FF" w14:textId="2998585A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245FB650" w14:textId="50DCFF15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'size')</w:t>
      </w:r>
    </w:p>
    <w:p w14:paraId="69AB8B22" w14:textId="0B60600C" w:rsidR="00421B2E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40F3B8AE" w:rsidR="00A741E8" w:rsidRPr="0090630B" w:rsidRDefault="00CA516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</w:t>
      </w:r>
      <w:r w:rsidR="00117F1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Figure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4639CD45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291BF9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 sites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(b).</w:t>
      </w:r>
    </w:p>
    <w:p w14:paraId="265CEDCD" w14:textId="3F8B310F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6748A384" w14:textId="7D1B962B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'coverage')</w:t>
      </w:r>
    </w:p>
    <w:p w14:paraId="72C402F5" w14:textId="37D1EAF0" w:rsidR="003D30DC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420D76F3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Fragment-size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beta diversity gradient under six coverage values for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8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b/>
          <w:color w:val="C00000"/>
          <w:sz w:val="20"/>
          <w:szCs w:val="20"/>
        </w:rPr>
        <w:t>fragments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each with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habitats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5DEA393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based on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(filter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out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4 sites by fragment size larger than 100-ha)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we use the same abundance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used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in F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fragment size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original excel file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EF7A76A" w14:textId="77777777" w:rsidR="00A369D2" w:rsidRPr="0088412F" w:rsidRDefault="00A369D2" w:rsidP="008F333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1CD1CC" w14:textId="3223D25B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3B4D8948" w14:textId="27FF818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iNEXTbeta3</w:t>
      </w:r>
      <w:proofErr w:type="gramStart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D(</w:t>
      </w:r>
      <w:proofErr w:type="spellStart"/>
      <w:proofErr w:type="gram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"TD", q = c(0,1,2), </w:t>
      </w:r>
      <w:proofErr w:type="spellStart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nboot</w:t>
      </w:r>
      <w:proofErr w:type="spell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0, </w:t>
      </w:r>
    </w:p>
    <w:p w14:paraId="28985B23" w14:textId="32CB29C6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</w:t>
      </w:r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level = </w:t>
      </w:r>
      <w:proofErr w:type="gramStart"/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>0.6, 0.7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, 0.8, 0.9, 0.95, 1))</w:t>
      </w:r>
    </w:p>
    <w:p w14:paraId="21B1E1BA" w14:textId="014F4A92" w:rsidR="00803B6C" w:rsidRPr="0014190D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>##################################################################################</w:t>
      </w:r>
    </w:p>
    <w:p w14:paraId="605BFA1B" w14:textId="71CC5FFB" w:rsidR="00F801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5EA80F97" w14:textId="77777777" w:rsidR="0088412F" w:rsidRPr="00803B6C" w:rsidRDefault="0088412F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D01526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4DD0E940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175ED7FD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5BA60A46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>list(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1),</w:t>
      </w:r>
    </w:p>
    <w:p w14:paraId="1C3A4795" w14:textId="61FF76F2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08500C7D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(a). </w:t>
      </w:r>
    </w:p>
    <w:p w14:paraId="5AB896FA" w14:textId="0FC00D5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a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</w:t>
      </w:r>
      <w:proofErr w:type="gramStart"/>
      <w:r w:rsidR="003E0A8C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beetle,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abundance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size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30F5CC18" w14:textId="40695413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1CD7AEE3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 R code for Figure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2CC5BD8E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3AB96AE5" w14:textId="7C689CAF" w:rsidR="00A369D2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</w:t>
      </w:r>
      <w:proofErr w:type="gramStart"/>
      <w:r w:rsidR="003E0A8C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>beetle,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datatype = 'abundance',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coverage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200,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1B8A6CE8" w14:textId="2EB040F9" w:rsidR="00734433" w:rsidRPr="00734433" w:rsidRDefault="0073443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level= </w:t>
      </w: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seq</w:t>
      </w:r>
      <w:proofErr w:type="spellEnd"/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>0.8,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1,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0.025))</w:t>
      </w:r>
    </w:p>
    <w:p w14:paraId="5CC0FDBF" w14:textId="5A56F721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44D29DD0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074D5E4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second-growth </w:t>
      </w:r>
      <w:r w:rsidR="00117F1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trees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0609F4BD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trees.xl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sx", sheet = 1)</w:t>
      </w:r>
    </w:p>
    <w:p w14:paraId="0D948CF2" w14:textId="57A853B0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6005040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3)</w:t>
      </w:r>
    </w:p>
    <w:p w14:paraId="0A792A66" w14:textId="704099D4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1DFF4B6B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lastRenderedPageBreak/>
        <w:t>FEB.raw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57FD9C8E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0E2FC37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proofErr w:type="spellStart"/>
      <w:proofErr w:type="gramStart"/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proofErr w:type="spellEnd"/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spellStart"/>
      <w:proofErr w:type="gramEnd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FEB.raw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Assem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Rios",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Peje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Tirimbina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Sur",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Finca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Bejuco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4F237C25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5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5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C811D6" w14:textId="77777777" w:rsidR="009C059B" w:rsidRPr="009C059B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", "for_fig_5", "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obsbeta.incidence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7A612192" w14:textId="77777777" w:rsidR="009C059B" w:rsidRPr="009C059B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), library(iNEXT.beta3D), library(iNEXT.3D), library(reshape2), </w:t>
      </w:r>
    </w:p>
    <w:p w14:paraId="5267723B" w14:textId="4B83201F" w:rsidR="00463905" w:rsidRPr="00F32D93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)))</w:t>
      </w:r>
    </w:p>
    <w:p w14:paraId="12A19084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53B9D830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(cl,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, function(x) 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(x,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2A2CC145" w14:textId="2DC4D794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4D3B3DDB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6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2A86FEB9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ish_Lat55-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>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proofErr w:type="spellStart"/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’, ‘Year’, ‘</w:t>
      </w:r>
      <w:proofErr w:type="spellStart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SampleID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606D856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&lt;-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Data fish_Lat55-60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region =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!(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matrix(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1985:2010,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 = paste(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[2,],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464B984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>based on four estimation methods⸺ observed, 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B69E2C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()-1</w:t>
      </w:r>
    </w:p>
    <w:p w14:paraId="182DC5D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F0B588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"fish",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61509001" w14:textId="6774DD9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), library(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iNEXT.beta3D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0D3AB2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cl, 1:200, function(k) {</w:t>
      </w:r>
    </w:p>
    <w:p w14:paraId="235AE21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region &lt;- 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0A1940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1B7D4E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6FD3E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11FFB1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for(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1:length(region)){</w:t>
      </w:r>
    </w:p>
    <w:p w14:paraId="52EF789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data2 &lt;-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fish[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region[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],]</w:t>
      </w:r>
    </w:p>
    <w:p w14:paraId="47F2C12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 &lt;-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(data2) </w:t>
      </w:r>
    </w:p>
    <w:p w14:paraId="46E7DB4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47D3961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&lt;- region</w:t>
      </w:r>
    </w:p>
    <w:p w14:paraId="1B32011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6861B30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1E69F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rep(names(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), times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unlist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))))</w:t>
      </w:r>
    </w:p>
    <w:p w14:paraId="34D4E33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[!is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.na(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]</w:t>
      </w:r>
    </w:p>
    <w:p w14:paraId="661D28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rownames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)&lt;-NULL</w:t>
      </w:r>
    </w:p>
    <w:p w14:paraId="07BA6FB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data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</w:p>
    <w:p w14:paraId="165C985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94D522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0.99, 0.999, 1)</w:t>
      </w:r>
    </w:p>
    <w:p w14:paraId="265517A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97A379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50B288D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(region,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C38B82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FCDF3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E0D472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tmp2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)), function(j) {</w:t>
      </w:r>
    </w:p>
    <w:p w14:paraId="01FE3E7A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))[1]), </w:t>
      </w:r>
    </w:p>
    <w:p w14:paraId="1E6EB5A0" w14:textId="0A8095C4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183A7F8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583DFCE6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))[j]), </w:t>
      </w:r>
    </w:p>
    <w:p w14:paraId="173B7E64" w14:textId="4B5D602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606C911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4006826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54C6B1D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5A0826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9B8983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19B36EA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13A9219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))[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-1]</w:t>
      </w:r>
    </w:p>
    <w:p w14:paraId="5A7A495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05B696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6DE6E7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4E44B49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CCFE3A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 = region</w:t>
      </w:r>
    </w:p>
    <w:p w14:paraId="0E5E959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9D22E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0511DC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2F16DE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level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33114F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A1BC22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(result, function(y) {</w:t>
      </w:r>
    </w:p>
    <w:p w14:paraId="55F3CD5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</w:t>
      </w:r>
    </w:p>
    <w:p w14:paraId="051A9DB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1:3,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(y[[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names(y)[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])) %&gt;% </w:t>
      </w:r>
    </w:p>
    <w:p w14:paraId="6922288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SC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| Method == 'Observed')</w:t>
      </w:r>
    </w:p>
    <w:p w14:paraId="5E79F78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81A7F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"beta") %&gt;% filter(Method == 'Observed') %&gt;%</w:t>
      </w:r>
    </w:p>
    <w:p w14:paraId="059732FD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Estimate =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y$gamma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'Observed'))$Estimate / </w:t>
      </w:r>
    </w:p>
    <w:p w14:paraId="7B921405" w14:textId="0AFC215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Method == 'Observed'))$Estimate, </w:t>
      </w:r>
    </w:p>
    <w:p w14:paraId="2E16F15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SC = "NA")</w:t>
      </w:r>
    </w:p>
    <w:p w14:paraId="413645D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5A2226C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3608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303BF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11CEF4A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B8D1C1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Latitude =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])</w:t>
      </w:r>
    </w:p>
    <w:p w14:paraId="7F7B5B4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3A6959C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6A52C5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9A2B6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output.temp$Method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'Observed', 'SC'] = 'Observed'</w:t>
      </w:r>
    </w:p>
    <w:p w14:paraId="3238D13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8BFD12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Spatial ================== ##</w:t>
      </w:r>
    </w:p>
    <w:p w14:paraId="01C77D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 list( c('South', 'North') ),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5D1E5B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[[1]])</w:t>
      </w:r>
    </w:p>
    <w:p w14:paraId="70ACBCA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[[2]])</w:t>
      </w:r>
    </w:p>
    <w:p w14:paraId="2DCE026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33ED1A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year = 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data$Year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%&gt;% sort</w:t>
      </w:r>
    </w:p>
    <w:p w14:paraId="2BFDE24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5DE021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year, function(j) {</w:t>
      </w:r>
    </w:p>
    <w:p w14:paraId="710275A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tmp1 %&gt;% filter(Year == j), 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066897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tmp2 %&gt;% filter(Year == j), 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75816D1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143F35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26DA0E9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66F92F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1663C0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5A1A9BE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49DB883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= year</w:t>
      </w:r>
    </w:p>
    <w:p w14:paraId="06049E2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A33727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return(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2BC141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})</w:t>
      </w:r>
    </w:p>
    <w:p w14:paraId="245B280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81C139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 = 'South vs. North'</w:t>
      </w:r>
    </w:p>
    <w:p w14:paraId="4828BA1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78A2B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807C29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CC1E35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level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153B667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2D5846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(result, function(y) {</w:t>
      </w:r>
    </w:p>
    <w:p w14:paraId="7444E8E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2A7304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1:3,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(y[[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names(y)[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])) %&gt;% </w:t>
      </w:r>
    </w:p>
    <w:p w14:paraId="32F39EC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SC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| Method == 'Observed')</w:t>
      </w:r>
    </w:p>
    <w:p w14:paraId="4720399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3A4D961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"beta") %&gt;% filter(Method == 'Observed') %&gt;%</w:t>
      </w:r>
    </w:p>
    <w:p w14:paraId="1EC3F05E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Estimate =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y$gamma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'Observed'))$Estimate / </w:t>
      </w:r>
    </w:p>
    <w:p w14:paraId="4D83DA74" w14:textId="1ACBFD5F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Method == 'Observed'))$Estimate, </w:t>
      </w:r>
    </w:p>
    <w:p w14:paraId="566075C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SC = "NA")</w:t>
      </w:r>
    </w:p>
    <w:p w14:paraId="4D92FA6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A9D3A9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CDD0E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78593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0A8B48A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C6EC5D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Latitude =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])</w:t>
      </w:r>
    </w:p>
    <w:p w14:paraId="60A7E7F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247C124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6D521A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979D06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output.spat$Method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'Observed', 'SC'] = 'Observed'</w:t>
      </w:r>
    </w:p>
    <w:p w14:paraId="513DB2A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6FA737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"temporal" = output.temp[,c('Order.q','SC','Dataset','div_type','Latitude','Estimate')], </w:t>
      </w:r>
    </w:p>
    <w:p w14:paraId="112CD08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"spatial"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[,c('Order.q','SC','Dataset','div_type','Latitude','Estimate')])</w:t>
      </w:r>
    </w:p>
    <w:p w14:paraId="614D2F54" w14:textId="7F47E61C" w:rsidR="00A369D2" w:rsidRPr="00A369D2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})</w:t>
      </w:r>
    </w:p>
    <w:p w14:paraId="691D978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2F4A48F1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369D2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A369D2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4FDD22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4D6BE907" w14:textId="334B9CDF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'temporal'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[[1]]$temporal,</w:t>
      </w:r>
    </w:p>
    <w:p w14:paraId="3FD79892" w14:textId="7323221C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'spatial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'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[[1]]$spatial)</w:t>
      </w:r>
    </w:p>
    <w:p w14:paraId="25E084E2" w14:textId="77777777" w:rsidR="003A41CE" w:rsidRPr="00D748B6" w:rsidRDefault="003A41CE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EE1A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 {</w:t>
      </w:r>
    </w:p>
    <w:p w14:paraId="511B4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if (sum(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temporal ==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') == 0)</w:t>
      </w:r>
    </w:p>
    <w:p w14:paraId="1DCA786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output_fig_6$temporal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output_fig_6$temporal, </w:t>
      </w:r>
    </w:p>
    <w:p w14:paraId="7B79123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temporal, </w:t>
      </w:r>
    </w:p>
    <w:p w14:paraId="6EBD37F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6C1943D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04D71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if (sum(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spatial ==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') == 0)</w:t>
      </w:r>
    </w:p>
    <w:p w14:paraId="560B94E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output_fig_6$spatial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output_fig_6$spatial, </w:t>
      </w:r>
    </w:p>
    <w:p w14:paraId="155B729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spatial, </w:t>
      </w:r>
    </w:p>
    <w:p w14:paraId="70474E6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0EBC065B" w14:textId="7A9715C3" w:rsidR="00D748B6" w:rsidRPr="00D748B6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5E4C9C36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6A3C3F2" w14:textId="341431C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,1:5], </w:t>
      </w:r>
    </w:p>
    <w:p w14:paraId="3C11A493" w14:textId="09563035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1, mean))</w:t>
      </w:r>
    </w:p>
    <w:p w14:paraId="16E5E69B" w14:textId="4F70BEF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$spatial[,1:5],  </w:t>
      </w:r>
    </w:p>
    <w:p w14:paraId="197E5E5E" w14:textId="442C97E7" w:rsidR="00F32D93" w:rsidRPr="00F32D93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757A5146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>(a) 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 xml:space="preserve">By setting a goal coverage = 99.9%, we then obtain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E2AB8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9D16CFD" w14:textId="5B642AD6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bookmarkStart w:id="0" w:name="_GoBack"/>
      <w:bookmarkEnd w:id="0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51169" w14:textId="77777777" w:rsidR="00AB3CBE" w:rsidRDefault="00AB3CBE" w:rsidP="00B40771">
      <w:r>
        <w:separator/>
      </w:r>
    </w:p>
  </w:endnote>
  <w:endnote w:type="continuationSeparator" w:id="0">
    <w:p w14:paraId="2B4B01FA" w14:textId="77777777" w:rsidR="00AB3CBE" w:rsidRDefault="00AB3CBE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346DC7" w:rsidRDefault="00346DC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346DC7" w:rsidRDefault="00346DC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EndPr/>
    <w:sdtContent>
      <w:p w14:paraId="425475DE" w14:textId="58D12F87" w:rsidR="00117F1C" w:rsidRDefault="00117F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EB1" w:rsidRPr="00A34EB1">
          <w:rPr>
            <w:noProof/>
            <w:lang w:val="zh-TW"/>
          </w:rPr>
          <w:t>11</w:t>
        </w:r>
        <w:r>
          <w:fldChar w:fldCharType="end"/>
        </w:r>
      </w:p>
    </w:sdtContent>
  </w:sdt>
  <w:p w14:paraId="116F33DE" w14:textId="77777777" w:rsidR="00346DC7" w:rsidRDefault="00346DC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C2121" w14:textId="77777777" w:rsidR="00AB3CBE" w:rsidRDefault="00AB3CBE" w:rsidP="00B40771">
      <w:r>
        <w:separator/>
      </w:r>
    </w:p>
  </w:footnote>
  <w:footnote w:type="continuationSeparator" w:id="0">
    <w:p w14:paraId="7898AA96" w14:textId="77777777" w:rsidR="00AB3CBE" w:rsidRDefault="00AB3CBE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EndPr/>
    <w:sdtContent>
      <w:p w14:paraId="545E1F17" w14:textId="77777777" w:rsidR="00117F1C" w:rsidRDefault="00117F1C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117F1C" w:rsidRDefault="00117F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6E6A"/>
    <w:rsid w:val="00047E6E"/>
    <w:rsid w:val="00051540"/>
    <w:rsid w:val="00053044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919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0B65"/>
    <w:rsid w:val="001729C6"/>
    <w:rsid w:val="001747CF"/>
    <w:rsid w:val="001845D8"/>
    <w:rsid w:val="001849B9"/>
    <w:rsid w:val="00184DC5"/>
    <w:rsid w:val="001909CF"/>
    <w:rsid w:val="001914B9"/>
    <w:rsid w:val="00193004"/>
    <w:rsid w:val="00194140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04A6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138F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47490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4423"/>
    <w:rsid w:val="009A637D"/>
    <w:rsid w:val="009A7297"/>
    <w:rsid w:val="009B0C78"/>
    <w:rsid w:val="009B2B0D"/>
    <w:rsid w:val="009B46B7"/>
    <w:rsid w:val="009B6A6B"/>
    <w:rsid w:val="009C059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EB1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57786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3CBE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2220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5B26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568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297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3225E"/>
    <w:rsid w:val="00F32D93"/>
    <w:rsid w:val="00F34EBF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ECM_iNEXT.beta3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544D8E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164DB3"/>
    <w:rsid w:val="00544D8E"/>
    <w:rsid w:val="006B29A4"/>
    <w:rsid w:val="0088038B"/>
    <w:rsid w:val="00880B5D"/>
    <w:rsid w:val="00960EE8"/>
    <w:rsid w:val="009A693C"/>
    <w:rsid w:val="00DC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C35D-69FC-4F34-A436-0FA34BA1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6</cp:revision>
  <cp:lastPrinted>2023-03-09T07:24:00Z</cp:lastPrinted>
  <dcterms:created xsi:type="dcterms:W3CDTF">2023-06-11T13:59:00Z</dcterms:created>
  <dcterms:modified xsi:type="dcterms:W3CDTF">2023-08-24T18:33:00Z</dcterms:modified>
</cp:coreProperties>
</file>