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4F581" w14:textId="1D5660F9" w:rsidR="00B16738" w:rsidRDefault="00B16738" w:rsidP="00B16738">
      <w:pPr>
        <w:jc w:val="right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B16738">
        <w:rPr>
          <w:rFonts w:ascii="Times New Roman" w:hAnsi="Times New Roman" w:cs="Times New Roman"/>
          <w:b/>
          <w:bCs/>
          <w:color w:val="0070C0"/>
          <w:kern w:val="0"/>
          <w:sz w:val="20"/>
          <w:szCs w:val="20"/>
        </w:rPr>
        <w:t>Latest version (August 2022)</w:t>
      </w:r>
    </w:p>
    <w:p w14:paraId="2CF763BF" w14:textId="29411CA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105DE49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and also available in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dplyr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gg.gap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devtools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("</w:t>
      </w:r>
      <w:proofErr w:type="spellStart"/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</w:t>
      </w:r>
      <w:proofErr w:type="gram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13E4F32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two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“</w:t>
      </w:r>
      <w:r w:rsidR="003559AD">
        <w:rPr>
          <w:rFonts w:asciiTheme="majorHAnsi" w:hAnsiTheme="majorHAnsi" w:cstheme="majorHAnsi"/>
          <w:color w:val="0000FF"/>
          <w:kern w:val="0"/>
          <w:sz w:val="20"/>
          <w:szCs w:val="20"/>
        </w:rPr>
        <w:t>AO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</w:t>
      </w:r>
      <w:proofErr w:type="gramStart"/>
      <w:r w:rsidRPr="00A231F1"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2A19DFF1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3559AD">
        <w:rPr>
          <w:rFonts w:asciiTheme="majorHAnsi" w:hAnsiTheme="majorHAnsi" w:cstheme="majorHAnsi"/>
          <w:color w:val="0000FF"/>
          <w:kern w:val="0"/>
          <w:sz w:val="20"/>
          <w:szCs w:val="20"/>
        </w:rPr>
        <w:t>AO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3</w:t>
      </w:r>
      <w:proofErr w:type="gramStart"/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proofErr w:type="gramEnd"/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22358A82" w:rsidR="00354D86" w:rsidRPr="00A231F1" w:rsidRDefault="003559AD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3</w:t>
      </w:r>
      <w:proofErr w:type="gramStart"/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</w:t>
      </w:r>
      <w:proofErr w:type="spellEnd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581C5F62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3559AD" w:rsidRPr="003559AD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method 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="003559AD" w:rsidRPr="003559AD">
        <w:rPr>
          <w:rFonts w:asciiTheme="majorHAnsi" w:hAnsiTheme="majorHAnsi" w:cstheme="majorHAnsi"/>
          <w:color w:val="00B050"/>
          <w:kern w:val="0"/>
          <w:sz w:val="20"/>
          <w:szCs w:val="20"/>
        </w:rPr>
        <w:t>c(</w:t>
      </w:r>
      <w:proofErr w:type="gramEnd"/>
      <w:r w:rsidR="003559AD" w:rsidRPr="003559AD">
        <w:rPr>
          <w:rFonts w:asciiTheme="majorHAnsi" w:hAnsiTheme="majorHAnsi" w:cstheme="majorHAnsi"/>
          <w:color w:val="00B050"/>
          <w:kern w:val="0"/>
          <w:sz w:val="20"/>
          <w:szCs w:val="20"/>
        </w:rPr>
        <w:t>"Asymptotic", "Observed")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proofErr w:type="spellEnd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0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0"/>
            <w:r w:rsidR="00E31FF4">
              <w:rPr>
                <w:rStyle w:val="ad"/>
              </w:rPr>
              <w:commentReference w:id="0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</w:t>
            </w:r>
            <w:proofErr w:type="spellStart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Newick</w:t>
            </w:r>
            <w:proofErr w:type="spellEnd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  <w:proofErr w:type="spellEnd"/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proofErr w:type="spellStart"/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PDtype</w:t>
            </w:r>
            <w:proofErr w:type="spellEnd"/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  <w:proofErr w:type="spellEnd"/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  <w:proofErr w:type="spellEnd"/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  <w:proofErr w:type="spellEnd"/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1E202FE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se </w:t>
      </w:r>
      <w:proofErr w:type="gramStart"/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</w:t>
      </w:r>
      <w:proofErr w:type="gramEnd"/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3559AD"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</w:t>
      </w:r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function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</w:t>
      </w:r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function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45C3130F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552A7D72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="001E07BA" w:rsidRPr="006037C1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89C66D" w14:textId="576243AF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AO3</w:t>
      </w:r>
      <w:proofErr w:type="gramStart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 xml:space="preserve">   </w:t>
      </w:r>
    </w:p>
    <w:p w14:paraId="64B25CAD" w14:textId="0B041812" w:rsidR="003D30DC" w:rsidRPr="0014190D" w:rsidRDefault="001E07B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7CAF7C2E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AC879EB" w14:textId="25D9ADF9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AO3</w:t>
      </w:r>
      <w:proofErr w:type="gramStart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58CC5D8F" w14:textId="209073C7" w:rsidR="003D30DC" w:rsidRPr="0014190D" w:rsidRDefault="001E07BA" w:rsidP="001E0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5608050E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3D18680F" w14:textId="36EF699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64FBF174" w14:textId="305009E1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Newick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5F429FE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B726EC3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4D5301F3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3C9D9CD4" w14:textId="42ADA985" w:rsidR="00C34F88" w:rsidRPr="00B40771" w:rsidRDefault="00AD02E7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8C84F9D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1BD973E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7132B50C" w14:textId="6D23FC7A" w:rsidR="00C34F88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14298EF0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45D81C5C" w14:textId="58D5FD62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008CB57B" w14:textId="483750F4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traits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1:ncol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cluster::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490889C3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3E07DCE5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B2A108" w14:textId="77777777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</w:p>
    <w:p w14:paraId="08D813BA" w14:textId="5612D717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16554AA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B1840DD" w14:textId="77777777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>FD_asy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</w:p>
    <w:p w14:paraId="0FD11015" w14:textId="0D328E83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52756F0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8725AB0" w14:textId="56067FAF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26C43243" w14:textId="18B1FE7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proofErr w:type="gram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proofErr w:type="gram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proofErr w:type="gram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proofErr w:type="gram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proofErr w:type="gram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</w:t>
      </w:r>
      <w:proofErr w:type="gram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proofErr w:type="gram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</w:t>
      </w:r>
      <w:proofErr w:type="gram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238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</w:t>
      </w:r>
      <w:proofErr w:type="spellStart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incidence_raw</w:t>
      </w:r>
      <w:proofErr w:type="spellEnd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7582">
        <w:rPr>
          <w:rFonts w:ascii="Times New Roman" w:hAnsi="Times New Roman" w:cs="Times New Roman"/>
          <w:sz w:val="20"/>
          <w:szCs w:val="20"/>
        </w:rPr>
        <w:t>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>a matrix/</w:t>
      </w:r>
      <w:proofErr w:type="spellStart"/>
      <w:r w:rsidR="00A00BFE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="00A00BFE">
        <w:rPr>
          <w:rFonts w:ascii="Times New Roman" w:hAnsi="Times New Roman" w:cs="Times New Roman"/>
          <w:sz w:val="20"/>
          <w:szCs w:val="20"/>
        </w:rPr>
        <w:t xml:space="preserve">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proofErr w:type="spellEnd"/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</w:t>
      </w:r>
      <w:proofErr w:type="spellStart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incidence_freq</w:t>
      </w:r>
      <w:proofErr w:type="spellEnd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 xml:space="preserve">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</w:t>
      </w:r>
      <w:proofErr w:type="gramStart"/>
      <w:r w:rsidRPr="0014190D">
        <w:rPr>
          <w:rFonts w:asciiTheme="majorHAnsi" w:eastAsiaTheme="minorEastAsia" w:hAnsiTheme="majorHAnsi" w:cstheme="majorHAnsi"/>
          <w:sz w:val="20"/>
          <w:szCs w:val="20"/>
        </w:rPr>
        <w:t>read.csv(</w:t>
      </w:r>
      <w:proofErr w:type="gram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"Fish incidence raw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1:length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apply(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1:length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apply(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03208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1E8A68" w14:textId="726463CA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10357670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1C1703B1" w14:textId="6946CBA1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F56D40" w14:textId="0580679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00911B20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4C121292" w14:textId="7BB42DEB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6DFDE1B7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6EA068E" w14:textId="0EFE5864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17567CED" w14:textId="491F7F95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 w:hint="eastAsia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12C8B9A8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571E5D" w14:textId="5B4753CA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14CBB426" w:rsidR="004978EA" w:rsidRPr="0014190D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10EE5483" w14:textId="0DB3B313" w:rsidR="008F10CA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402146A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1E92A25B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D_asy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68BA93DF" w14:textId="25530DCB" w:rsidR="008F10CA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'Asymptotic'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1CD59529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5DD637BA" w14:textId="3A7927E2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7EC121DA" w14:textId="6B710272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traits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1:ncol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unique(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cluster::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0BB55806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37A3D1D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B4B53BB" w:rsidR="005B132C" w:rsidRPr="0014190D" w:rsidRDefault="001E07BA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3</w:t>
      </w:r>
      <w:proofErr w:type="gram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0052F3C5" w14:textId="796970F5" w:rsidR="001747CF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</w:t>
      </w:r>
      <w:proofErr w:type="gramEnd"/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 method = 'Observed'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7EF05E44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18A76051" w:rsidR="005B132C" w:rsidRPr="0014190D" w:rsidRDefault="001E07BA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>
        <w:rPr>
          <w:rFonts w:asciiTheme="majorHAnsi" w:eastAsiaTheme="minorEastAsia" w:hAnsiTheme="majorHAnsi" w:cstheme="majorHAnsi"/>
          <w:sz w:val="20"/>
          <w:szCs w:val="20"/>
        </w:rPr>
        <w:t>FD_asy</w:t>
      </w:r>
      <w:proofErr w:type="spellEnd"/>
      <w:r>
        <w:rPr>
          <w:rFonts w:asciiTheme="majorHAnsi" w:eastAsiaTheme="minorEastAsia" w:hAnsiTheme="majorHAnsi" w:cstheme="majorHAnsi"/>
          <w:sz w:val="20"/>
          <w:szCs w:val="20"/>
        </w:rPr>
        <w:t xml:space="preserve"> &lt;- </w:t>
      </w:r>
      <w:r>
        <w:rPr>
          <w:rFonts w:asciiTheme="majorHAnsi" w:eastAsiaTheme="minorEastAsia" w:hAnsiTheme="majorHAnsi" w:cstheme="majorHAnsi" w:hint="eastAsia"/>
          <w:sz w:val="20"/>
          <w:szCs w:val="20"/>
        </w:rPr>
        <w:t>AO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3</w:t>
      </w:r>
      <w:proofErr w:type="gram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D(</w:t>
      </w:r>
      <w:proofErr w:type="gram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data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',</w:t>
      </w:r>
    </w:p>
    <w:p w14:paraId="07BAB307" w14:textId="1B0FF516" w:rsidR="0074084E" w:rsidRPr="0014190D" w:rsidRDefault="00AD02E7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nboot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FDdistM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eastAsiaTheme="minorEastAsia" w:hAnsiTheme="majorHAnsi" w:cstheme="majorHAnsi"/>
          <w:sz w:val="20"/>
          <w:szCs w:val="20"/>
        </w:rPr>
        <w:t>,</w:t>
      </w:r>
      <w:proofErr w:type="gramEnd"/>
      <w:r w:rsidR="001E07BA" w:rsidRPr="001E07BA">
        <w:rPr>
          <w:rFonts w:asciiTheme="majorHAnsi" w:eastAsiaTheme="minorEastAsia" w:hAnsiTheme="majorHAnsi" w:cstheme="majorHAnsi"/>
          <w:sz w:val="20"/>
          <w:szCs w:val="20"/>
        </w:rPr>
        <w:t xml:space="preserve"> method = 'Asymptotic'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404746AD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bookmarkStart w:id="1" w:name="_GoBack"/>
      <w:bookmarkEnd w:id="1"/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000E9103" w14:textId="434913AF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2CD303EF" w14:textId="00170FFD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proofErr w:type="gram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proofErr w:type="gram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</w:t>
      </w:r>
      <w:proofErr w:type="spellStart"/>
      <w:proofErr w:type="gramStart"/>
      <w:r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proofErr w:type="gram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>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proofErr w:type="gram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proofErr w:type="gram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11519FB8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Pr="00426A2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proofErr w:type="spellStart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3559AD"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'</w:t>
      </w:r>
      <w:proofErr w:type="spellStart"/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</w:t>
      </w:r>
      <w:proofErr w:type="gramStart"/>
      <w:r w:rsidRPr="0014190D">
        <w:rPr>
          <w:rFonts w:asciiTheme="majorHAnsi" w:eastAsiaTheme="minorEastAsia" w:hAnsiTheme="majorHAnsi" w:cstheme="majorHAnsi"/>
          <w:sz w:val="20"/>
          <w:szCs w:val="20"/>
        </w:rPr>
        <w:t>read.csv(</w:t>
      </w:r>
      <w:proofErr w:type="gram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base = 'coverage', level = </w:t>
      </w:r>
      <w:proofErr w:type="gramStart"/>
      <w:r w:rsidRPr="0014190D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proofErr w:type="gramEnd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F9E65" w14:textId="77777777" w:rsidR="00485133" w:rsidRDefault="00485133" w:rsidP="00B40771">
      <w:r>
        <w:separator/>
      </w:r>
    </w:p>
  </w:endnote>
  <w:endnote w:type="continuationSeparator" w:id="0">
    <w:p w14:paraId="1B2C5B1B" w14:textId="77777777" w:rsidR="00485133" w:rsidRDefault="00485133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348224A9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059E3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BAC73" w14:textId="77777777" w:rsidR="00485133" w:rsidRDefault="00485133" w:rsidP="00B40771">
      <w:r>
        <w:separator/>
      </w:r>
    </w:p>
  </w:footnote>
  <w:footnote w:type="continuationSeparator" w:id="0">
    <w:p w14:paraId="1EE859A7" w14:textId="77777777" w:rsidR="00485133" w:rsidRDefault="00485133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053E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0E3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7BA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4DD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559AD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5133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059E3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02E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738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AE60-3B7D-464C-B632-E9CF26F1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3582</Words>
  <Characters>20423</Characters>
  <Application>Microsoft Office Word</Application>
  <DocSecurity>0</DocSecurity>
  <Lines>170</Lines>
  <Paragraphs>47</Paragraphs>
  <ScaleCrop>false</ScaleCrop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6</cp:revision>
  <cp:lastPrinted>2021-05-29T14:56:00Z</cp:lastPrinted>
  <dcterms:created xsi:type="dcterms:W3CDTF">2021-06-19T11:40:00Z</dcterms:created>
  <dcterms:modified xsi:type="dcterms:W3CDTF">2023-09-28T06:56:00Z</dcterms:modified>
</cp:coreProperties>
</file>