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Progress Report Week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Name: </w:t>
      </w:r>
      <w:r w:rsidDel="00000000" w:rsidR="00000000" w:rsidRPr="00000000">
        <w:rPr>
          <w:b w:val="1"/>
          <w:highlight w:val="yellow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I: Ice core analysis: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Exploring the data: The data was stored in NIfTI (.nii) format. The volume has the dimensions of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512x512x512</w:t>
      </w:r>
      <w:r w:rsidDel="00000000" w:rsidR="00000000" w:rsidRPr="00000000">
        <w:rPr>
          <w:sz w:val="20"/>
          <w:szCs w:val="20"/>
          <w:rtl w:val="0"/>
        </w:rPr>
        <w:t xml:space="preserve">, a voxel size of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0.2x0.2x0.2cm</w:t>
      </w:r>
      <w:r w:rsidDel="00000000" w:rsidR="00000000" w:rsidRPr="00000000">
        <w:rPr>
          <w:sz w:val="20"/>
          <w:szCs w:val="20"/>
          <w:highlight w:val="yellow"/>
          <w:vertAlign w:val="superscript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, and the intensities stored in a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float64 but ITK-SNAP is only able to load it as a float32</w:t>
      </w:r>
      <w:r w:rsidDel="00000000" w:rsidR="00000000" w:rsidRPr="00000000">
        <w:rPr>
          <w:sz w:val="20"/>
          <w:szCs w:val="20"/>
          <w:rtl w:val="0"/>
        </w:rPr>
        <w:t xml:space="preserve"> bit-representation in the range from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 to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.  An example slice and histogram of the intensities are shown in Figure 1.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21897" cy="2403299"/>
            <wp:effectExtent b="0" l="0" r="0" t="0"/>
            <wp:docPr id="19298928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1897" cy="240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24338" cy="2112169"/>
            <wp:effectExtent b="0" l="0" r="0" t="0"/>
            <wp:docPr id="192989280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112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1: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Example slice and histogram of voxel intensities.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Identifying bubbles of 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18</w:t>
      </w:r>
      <w:r w:rsidDel="00000000" w:rsidR="00000000" w:rsidRPr="00000000">
        <w:rPr>
          <w:sz w:val="20"/>
          <w:szCs w:val="20"/>
          <w:rtl w:val="0"/>
        </w:rPr>
        <w:t xml:space="preserve">O: The colormap and contrast range was adjusted to easily distinguish the various air bubble types from one another (see Figure 2). 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311400"/>
            <wp:effectExtent b="0" l="0" r="0" t="0"/>
            <wp:docPr id="19298928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2: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The orange bubbles are CH</w:t>
      </w:r>
      <w:r w:rsidDel="00000000" w:rsidR="00000000" w:rsidRPr="00000000">
        <w:rPr>
          <w:sz w:val="14"/>
          <w:szCs w:val="14"/>
          <w:highlight w:val="yellow"/>
          <w:rtl w:val="0"/>
        </w:rPr>
        <w:t xml:space="preserve">4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, the light blue bubbles are </w:t>
      </w:r>
      <w:r w:rsidDel="00000000" w:rsidR="00000000" w:rsidRPr="00000000">
        <w:rPr>
          <w:sz w:val="20"/>
          <w:szCs w:val="20"/>
          <w:highlight w:val="yellow"/>
          <w:vertAlign w:val="superscript"/>
          <w:rtl w:val="0"/>
        </w:rPr>
        <w:t xml:space="preserve">18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O isotope, the medium blue bubbles are </w:t>
      </w:r>
      <w:r w:rsidDel="00000000" w:rsidR="00000000" w:rsidRPr="00000000">
        <w:rPr>
          <w:sz w:val="20"/>
          <w:szCs w:val="20"/>
          <w:highlight w:val="yellow"/>
          <w:vertAlign w:val="superscript"/>
          <w:rtl w:val="0"/>
        </w:rPr>
        <w:t xml:space="preserve">16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O isotope and the dark blue bubbles are N</w:t>
      </w:r>
      <w:r w:rsidDel="00000000" w:rsidR="00000000" w:rsidRPr="00000000">
        <w:rPr>
          <w:sz w:val="14"/>
          <w:szCs w:val="14"/>
          <w:highlight w:val="yellow"/>
          <w:rtl w:val="0"/>
        </w:rPr>
        <w:t xml:space="preserve">2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O.</w:t>
      </w:r>
    </w:p>
    <w:p w:rsidR="00000000" w:rsidDel="00000000" w:rsidP="00000000" w:rsidRDefault="00000000" w:rsidRPr="00000000" w14:paraId="0000000C">
      <w:pPr>
        <w:rPr>
          <w:sz w:val="20"/>
          <w:szCs w:val="20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Counting and measuring bubbles of 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18</w:t>
      </w:r>
      <w:r w:rsidDel="00000000" w:rsidR="00000000" w:rsidRPr="00000000">
        <w:rPr>
          <w:sz w:val="20"/>
          <w:szCs w:val="20"/>
          <w:rtl w:val="0"/>
        </w:rPr>
        <w:t xml:space="preserve">O: Using the ruler tool of ITK-SNAP (see Figure 3) we detect the following: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Number of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18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bubbles: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Approximately having the following diameters: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[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9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,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 12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,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 14, 11, 16, 22, 15, 8, 13, 17, 18, 16, 13, 13, 11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]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mm.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314700"/>
            <wp:effectExtent b="0" l="0" r="0" t="0"/>
            <wp:docPr id="192989280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3: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Example of measuring two </w:t>
      </w:r>
      <w:r w:rsidDel="00000000" w:rsidR="00000000" w:rsidRPr="00000000">
        <w:rPr>
          <w:sz w:val="20"/>
          <w:szCs w:val="20"/>
          <w:highlight w:val="yellow"/>
          <w:vertAlign w:val="superscript"/>
          <w:rtl w:val="0"/>
        </w:rPr>
        <w:t xml:space="preserve">18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O bubbles.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Analysis: We then calculate the proportion of 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18</w:t>
      </w:r>
      <w:r w:rsidDel="00000000" w:rsidR="00000000" w:rsidRPr="00000000">
        <w:rPr>
          <w:sz w:val="20"/>
          <w:szCs w:val="20"/>
          <w:rtl w:val="0"/>
        </w:rPr>
        <w:t xml:space="preserve">O bubbles in the ice core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volume of core cylinder: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2.5*10</w:t>
      </w:r>
      <w:r w:rsidDel="00000000" w:rsidR="00000000" w:rsidRPr="00000000">
        <w:rPr>
          <w:sz w:val="20"/>
          <w:szCs w:val="20"/>
          <w:highlight w:val="yellow"/>
          <w:vertAlign w:val="superscript"/>
          <w:rtl w:val="0"/>
        </w:rPr>
        <w:t xml:space="preserve">6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mm</w:t>
      </w:r>
      <w:r w:rsidDel="00000000" w:rsidR="00000000" w:rsidRPr="00000000">
        <w:rPr>
          <w:sz w:val="20"/>
          <w:szCs w:val="20"/>
          <w:highlight w:val="yellow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total volume of 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18</w:t>
      </w:r>
      <w:r w:rsidDel="00000000" w:rsidR="00000000" w:rsidRPr="00000000">
        <w:rPr>
          <w:sz w:val="20"/>
          <w:szCs w:val="20"/>
          <w:rtl w:val="0"/>
        </w:rPr>
        <w:t xml:space="preserve">O bubbles: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9.6*10</w:t>
      </w:r>
      <w:r w:rsidDel="00000000" w:rsidR="00000000" w:rsidRPr="00000000">
        <w:rPr>
          <w:sz w:val="20"/>
          <w:szCs w:val="20"/>
          <w:highlight w:val="yellow"/>
          <w:vertAlign w:val="superscript"/>
          <w:rtl w:val="0"/>
        </w:rPr>
        <w:t xml:space="preserve">3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mm</w:t>
      </w:r>
      <w:r w:rsidDel="00000000" w:rsidR="00000000" w:rsidRPr="00000000">
        <w:rPr>
          <w:sz w:val="20"/>
          <w:szCs w:val="20"/>
          <w:highlight w:val="yellow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The density: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Proportion? 0.3%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II: MNIST Classification: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Exploring the data: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MNIST dataset consists of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60000</w:t>
      </w:r>
      <w:r w:rsidDel="00000000" w:rsidR="00000000" w:rsidRPr="00000000">
        <w:rPr>
          <w:sz w:val="20"/>
          <w:szCs w:val="20"/>
          <w:rtl w:val="0"/>
        </w:rPr>
        <w:t xml:space="preserve"> training and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10000</w:t>
      </w:r>
      <w:r w:rsidDel="00000000" w:rsidR="00000000" w:rsidRPr="00000000">
        <w:rPr>
          <w:sz w:val="20"/>
          <w:szCs w:val="20"/>
          <w:rtl w:val="0"/>
        </w:rPr>
        <w:t xml:space="preserve"> testing images of handwritten digits, each of size 28 x 28. Examples from each of the 10 classes are shown in Figure 4. 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628900"/>
            <wp:effectExtent b="0" l="0" r="0" t="0"/>
            <wp:docPr id="192989280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4: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Examples of each of the ten labels in the MNIST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Testing a small MLP model for classification: First we test a relatively small fully connected MLP, consisting of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hidden layers of size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10</w:t>
      </w:r>
      <w:r w:rsidDel="00000000" w:rsidR="00000000" w:rsidRPr="00000000">
        <w:rPr>
          <w:sz w:val="20"/>
          <w:szCs w:val="20"/>
          <w:rtl w:val="0"/>
        </w:rPr>
        <w:t xml:space="preserve">. This gives the model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8070</w:t>
      </w:r>
      <w:r w:rsidDel="00000000" w:rsidR="00000000" w:rsidRPr="00000000">
        <w:rPr>
          <w:sz w:val="20"/>
          <w:szCs w:val="20"/>
          <w:rtl w:val="0"/>
        </w:rPr>
        <w:t xml:space="preserve"> trainable parameters. In addition, the model uses ReLU activation functions for the hidden layers and a logarithmic softmax function for the output. The loss is calculated using Cross Entropy Loss and the model uses the Adam optimizer with a learning rate of 0.01, and is trained for 25 epochs.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training and test loss curves are shown in Figure 5. We see that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the model trains well and shows no signs of overfitting, and the model achieves an accuracy above 90%.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048000"/>
            <wp:effectExtent b="0" l="0" r="0" t="0"/>
            <wp:docPr id="192989280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5: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Loss and accuracy graphs recorded during both training and testing of the small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Testing a large MLP model for classification: Train a model with approximately 100k  trainable parameters.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model consists of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4</w:t>
      </w:r>
      <w:r w:rsidDel="00000000" w:rsidR="00000000" w:rsidRPr="00000000">
        <w:rPr>
          <w:sz w:val="20"/>
          <w:szCs w:val="20"/>
          <w:rtl w:val="0"/>
        </w:rPr>
        <w:t xml:space="preserve"> hidden layers of size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128 for the first two and 64 for the latter two</w:t>
      </w:r>
      <w:r w:rsidDel="00000000" w:rsidR="00000000" w:rsidRPr="00000000">
        <w:rPr>
          <w:sz w:val="20"/>
          <w:szCs w:val="20"/>
          <w:rtl w:val="0"/>
        </w:rPr>
        <w:t xml:space="preserve">, which gives the model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130058</w:t>
      </w:r>
      <w:r w:rsidDel="00000000" w:rsidR="00000000" w:rsidRPr="00000000">
        <w:rPr>
          <w:sz w:val="20"/>
          <w:szCs w:val="20"/>
          <w:rtl w:val="0"/>
        </w:rPr>
        <w:t xml:space="preserve"> trainable parameters, but otherwise with the same settings as the small model. The training and test loss curves are shown in Figure 6. We see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that the model is beginning to overfit, meaning that it has become too familiar with the training data. In the end however, it achieves an accuracy of above 95%, meaning that it still performs well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192989280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6: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Loss and accuracy graphs recorded during both training and testing of the large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mid-sized: approx. 25k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Testing a “mid-sized” MLP model for classification: The model consists of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 hidden layers of size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32, 16 and 8 respectively</w:t>
      </w:r>
      <w:r w:rsidDel="00000000" w:rsidR="00000000" w:rsidRPr="00000000">
        <w:rPr>
          <w:sz w:val="20"/>
          <w:szCs w:val="20"/>
          <w:rtl w:val="0"/>
        </w:rPr>
        <w:t xml:space="preserve">, which gives the model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25874</w:t>
      </w:r>
      <w:r w:rsidDel="00000000" w:rsidR="00000000" w:rsidRPr="00000000">
        <w:rPr>
          <w:sz w:val="20"/>
          <w:szCs w:val="20"/>
          <w:rtl w:val="0"/>
        </w:rPr>
        <w:t xml:space="preserve"> trainable parameters, but otherwise with the same settings as the small model. The training and test loss curves are shown in Figure 7. We see that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the model shows some initial signs of overfitting, but not as much as the large model. Similarly, it also achieves a higher final accuracy than the small model, but not quite as much as the large model</w:t>
      </w:r>
      <w:r w:rsidDel="00000000" w:rsidR="00000000" w:rsidRPr="00000000">
        <w:rPr>
          <w:sz w:val="20"/>
          <w:szCs w:val="20"/>
          <w:rtl w:val="0"/>
        </w:rPr>
        <w:t xml:space="preserve">. Examples of misclassified test images are shown in Figure 8.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048000"/>
            <wp:effectExtent b="0" l="0" r="0" t="0"/>
            <wp:docPr id="192989280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7: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Loss and accuracy graphs recorded during both training and testing of the medium-sized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71925" cy="4295775"/>
            <wp:effectExtent b="0" l="0" r="0" t="0"/>
            <wp:docPr id="192989280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8: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Example of a misclassified image.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198111</wp:posOffset>
          </wp:positionV>
          <wp:extent cx="261870" cy="382011"/>
          <wp:effectExtent b="0" l="0" r="0" t="0"/>
          <wp:wrapNone/>
          <wp:docPr descr="A black background with a black square&#10;&#10;Description automatically generated with medium confidence" id="1929892807" name="image10.png"/>
          <a:graphic>
            <a:graphicData uri="http://schemas.openxmlformats.org/drawingml/2006/picture">
              <pic:pic>
                <pic:nvPicPr>
                  <pic:cNvPr descr="A black background with a black square&#10;&#10;Description automatically generated with medium confidence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1870" cy="38201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02510: Progress Reports</w:t>
    </w:r>
  </w:p>
  <w:p w:rsidR="00000000" w:rsidDel="00000000" w:rsidP="00000000" w:rsidRDefault="00000000" w:rsidRPr="00000000" w14:paraId="000000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Spring 2024</w:t>
    </w:r>
  </w:p>
  <w:p w:rsidR="00000000" w:rsidDel="00000000" w:rsidP="00000000" w:rsidRDefault="00000000" w:rsidRPr="00000000" w14:paraId="000000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A73FF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A73FF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A73FFD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73FF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A73FFD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A73FF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A73FF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A73FF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A73FF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73FF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A73FF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A73FF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73FF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A73FFD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A73FF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A73FF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A73FF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A73FFD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A73FF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73FF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A73FF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73FF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A73FF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A73FF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A73FF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A73FFD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A73FF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73FFD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A73FFD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A73FF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73FFD"/>
  </w:style>
  <w:style w:type="paragraph" w:styleId="Footer">
    <w:name w:val="footer"/>
    <w:basedOn w:val="Normal"/>
    <w:link w:val="FooterChar"/>
    <w:uiPriority w:val="99"/>
    <w:unhideWhenUsed w:val="1"/>
    <w:rsid w:val="00A73FF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73FFD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2VZfGatb/jEZuVr1alS65bxuwQ==">CgMxLjA4AHIhMW1UaEppdlY5ZjJjTG9HUmNTbko5cmE4anVJNDIzc3Fh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2024-01-18T13:41:00Z</dcterms:created>
  <dc:creator>Hans Martin Kjer</dc:creator>
</cp:coreProperties>
</file>