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CC468" w14:textId="77777777" w:rsidR="00F77D23" w:rsidRDefault="00F77D23" w:rsidP="008F261B">
      <w:bookmarkStart w:id="0" w:name="_Hlk69294663"/>
    </w:p>
    <w:p w14:paraId="0B0B7C2E" w14:textId="77777777" w:rsidR="00F77D23" w:rsidRDefault="00F77D23" w:rsidP="008F261B"/>
    <w:p w14:paraId="7825B0D4" w14:textId="43DFCF38" w:rsidR="00F47000" w:rsidRPr="008F261B" w:rsidRDefault="008F261B" w:rsidP="008F261B">
      <w:pPr>
        <w:pStyle w:val="Title"/>
      </w:pPr>
      <w:r>
        <w:t xml:space="preserve">Well-Being </w:t>
      </w:r>
      <w:proofErr w:type="gramStart"/>
      <w:r>
        <w:t>During</w:t>
      </w:r>
      <w:proofErr w:type="gramEnd"/>
      <w:r>
        <w:t xml:space="preserve"> the COVID-19 Pandemic and the Role of Social C</w:t>
      </w:r>
      <w:r w:rsidR="00F47000" w:rsidRPr="008F261B">
        <w:t>ontact</w:t>
      </w:r>
    </w:p>
    <w:bookmarkEnd w:id="0"/>
    <w:p w14:paraId="50124961" w14:textId="50F5D88D" w:rsidR="00F77D23" w:rsidRDefault="00F77D23" w:rsidP="008F261B"/>
    <w:p w14:paraId="028168BA" w14:textId="399B5055" w:rsidR="00F77D23" w:rsidRDefault="00F77D23" w:rsidP="008F261B"/>
    <w:p w14:paraId="16659F88" w14:textId="53A5D5EF" w:rsidR="00F77D23" w:rsidRDefault="00F77D23" w:rsidP="008F261B"/>
    <w:p w14:paraId="1C0D0E23" w14:textId="3BE4262A" w:rsidR="00F77D23" w:rsidRDefault="00F77D23" w:rsidP="008F261B"/>
    <w:p w14:paraId="3A98DDBE" w14:textId="77777777" w:rsidR="00F77D23" w:rsidRPr="00F77D23" w:rsidRDefault="00F77D23" w:rsidP="008F261B"/>
    <w:p w14:paraId="5A3735F6" w14:textId="331705ED" w:rsidR="00F77D23" w:rsidRPr="00F77D23" w:rsidRDefault="00F77D23" w:rsidP="008F261B">
      <w:r w:rsidRPr="00F77D23">
        <w:t>&lt;</w:t>
      </w:r>
      <w:proofErr w:type="gramStart"/>
      <w:r w:rsidRPr="00F77D23">
        <w:t>insert</w:t>
      </w:r>
      <w:proofErr w:type="gramEnd"/>
      <w:r w:rsidRPr="00F77D23">
        <w:t xml:space="preserve"> abstract&gt;</w:t>
      </w:r>
    </w:p>
    <w:p w14:paraId="12476130" w14:textId="77777777" w:rsidR="00F77D23" w:rsidRDefault="00F77D23" w:rsidP="008F261B">
      <w:r>
        <w:br w:type="page"/>
      </w:r>
    </w:p>
    <w:p w14:paraId="3B56C990" w14:textId="46F91452" w:rsidR="00F47000" w:rsidRPr="00E35988" w:rsidRDefault="00F77D23" w:rsidP="008F261B">
      <w:pPr>
        <w:pStyle w:val="Heading1"/>
        <w:rPr>
          <w:i/>
        </w:rPr>
      </w:pPr>
      <w:r>
        <w:lastRenderedPageBreak/>
        <w:t>Introduction</w:t>
      </w:r>
    </w:p>
    <w:p w14:paraId="63D049FD" w14:textId="77777777" w:rsidR="008F261B" w:rsidRDefault="00F47000" w:rsidP="008F261B">
      <w:r w:rsidRPr="00E35988">
        <w:t>Social connections have a major impact on psychological and emotional well-being (</w:t>
      </w:r>
      <w:proofErr w:type="spellStart"/>
      <w:r w:rsidRPr="00E35988">
        <w:t>Cacioppo</w:t>
      </w:r>
      <w:proofErr w:type="spellEnd"/>
      <w:r w:rsidRPr="00E35988">
        <w:t xml:space="preserve"> &amp; </w:t>
      </w:r>
      <w:proofErr w:type="spellStart"/>
      <w:r w:rsidRPr="00E35988">
        <w:t>Hawkley</w:t>
      </w:r>
      <w:proofErr w:type="spellEnd"/>
      <w:r w:rsidRPr="00E35988">
        <w:t>, 2003), and social isolation and loneliness are risk factors for both poor mental and physical health (</w:t>
      </w:r>
      <w:proofErr w:type="spellStart"/>
      <w:r w:rsidRPr="00E35988">
        <w:t>Cacioppo</w:t>
      </w:r>
      <w:proofErr w:type="spellEnd"/>
      <w:r w:rsidRPr="00E35988">
        <w:t xml:space="preserve"> &amp; </w:t>
      </w:r>
      <w:proofErr w:type="spellStart"/>
      <w:r w:rsidRPr="00E35988">
        <w:t>Hawkley</w:t>
      </w:r>
      <w:proofErr w:type="spellEnd"/>
      <w:r w:rsidRPr="00E35988">
        <w:t>, 2003; Holt-</w:t>
      </w:r>
      <w:proofErr w:type="spellStart"/>
      <w:r w:rsidRPr="00E35988">
        <w:t>Lunstadt</w:t>
      </w:r>
      <w:proofErr w:type="spellEnd"/>
      <w:r w:rsidRPr="00E35988">
        <w:t xml:space="preserve"> et al., 2015). People with fewer social relationships </w:t>
      </w:r>
      <w:r w:rsidR="008F261B">
        <w:t xml:space="preserve">even </w:t>
      </w:r>
      <w:r w:rsidRPr="00E35988">
        <w:t>have higher mortality risks (Holt-</w:t>
      </w:r>
      <w:proofErr w:type="spellStart"/>
      <w:r w:rsidRPr="00E35988">
        <w:t>Lunstad</w:t>
      </w:r>
      <w:proofErr w:type="spellEnd"/>
      <w:r w:rsidRPr="00E35988">
        <w:t xml:space="preserve"> et al., 2010). Social connectedness is a basic need for human beings, but people fulfil their social needs in many </w:t>
      </w:r>
      <w:r w:rsidRPr="008F261B">
        <w:t>different</w:t>
      </w:r>
      <w:r w:rsidRPr="00E35988">
        <w:t xml:space="preserve"> ways (e.g. via friends, family, belonging to a group, work, social activities; </w:t>
      </w:r>
      <w:proofErr w:type="spellStart"/>
      <w:r w:rsidRPr="00E35988">
        <w:t>Lindenberg</w:t>
      </w:r>
      <w:proofErr w:type="spellEnd"/>
      <w:r w:rsidRPr="00E35988">
        <w:t xml:space="preserve">, 1996, 2013; </w:t>
      </w:r>
      <w:proofErr w:type="spellStart"/>
      <w:r w:rsidRPr="00E35988">
        <w:t>Ormel</w:t>
      </w:r>
      <w:proofErr w:type="spellEnd"/>
      <w:r w:rsidRPr="00E35988">
        <w:t xml:space="preserve"> et al., 1999). The COVID-19 pandemic </w:t>
      </w:r>
      <w:proofErr w:type="gramStart"/>
      <w:r w:rsidRPr="00E35988">
        <w:t>can be considered</w:t>
      </w:r>
      <w:proofErr w:type="gramEnd"/>
      <w:r w:rsidRPr="00E35988">
        <w:t xml:space="preserve"> a natural experiment of what happens when people are restricted in their social behavior. Stay-at-home orders are negatively associated with well-being (Barrett et al., 2021), and older people who experience a loss in </w:t>
      </w:r>
      <w:proofErr w:type="gramStart"/>
      <w:r w:rsidRPr="00E35988">
        <w:t>mobility also</w:t>
      </w:r>
      <w:proofErr w:type="gramEnd"/>
      <w:r w:rsidRPr="00E35988">
        <w:t xml:space="preserve"> experience a loss in well-being (Ziegler &amp; </w:t>
      </w:r>
      <w:proofErr w:type="spellStart"/>
      <w:r w:rsidRPr="00E35988">
        <w:t>Schwanen</w:t>
      </w:r>
      <w:proofErr w:type="spellEnd"/>
      <w:r w:rsidRPr="00E35988">
        <w:t xml:space="preserve">, 2011). </w:t>
      </w:r>
    </w:p>
    <w:p w14:paraId="30AE50A8" w14:textId="048D168F" w:rsidR="00F47000" w:rsidRPr="00E35988" w:rsidRDefault="00F47000" w:rsidP="008F261B">
      <w:r w:rsidRPr="00E35988">
        <w:t xml:space="preserve">Most research examines the potential negative effects of the pandemic on mental health, focusing on psychological symptoms and distress. Although negative mental health (psychological symptoms) and positive mental health (happiness and life satisfaction) </w:t>
      </w:r>
      <w:proofErr w:type="gramStart"/>
      <w:r w:rsidRPr="00E35988">
        <w:t>are correlated</w:t>
      </w:r>
      <w:proofErr w:type="gramEnd"/>
      <w:r w:rsidRPr="00E35988">
        <w:t xml:space="preserve">, the presence of psychological symptoms does not preclude the possibility of happiness (Keyes, 2005). In fact, between 15% and 30% of individuals with mental health problems are able to preserve some level of well-being and functioning (e.g., Bos et al., 2016; Duckworth et al., 2005; Keyes et al., 2005; Palmer et al., 2014). In this </w:t>
      </w:r>
      <w:r w:rsidR="00921549" w:rsidRPr="00E35988">
        <w:t>study,</w:t>
      </w:r>
      <w:r w:rsidRPr="00E35988">
        <w:t xml:space="preserve"> we therefore focus on happiness trajectories during the social restrictions of the COVID-19 pandemic, and especially those trajectories in which people are able to maintain a satisfactory level of happiness.</w:t>
      </w:r>
    </w:p>
    <w:p w14:paraId="2A590065" w14:textId="77777777" w:rsidR="00F47000" w:rsidRPr="00E35988" w:rsidRDefault="00F47000" w:rsidP="008F261B">
      <w:r w:rsidRPr="00E35988">
        <w:t xml:space="preserve">Social restrictions in general </w:t>
      </w:r>
      <w:proofErr w:type="gramStart"/>
      <w:r w:rsidRPr="00E35988">
        <w:t>impact</w:t>
      </w:r>
      <w:proofErr w:type="gramEnd"/>
      <w:r w:rsidRPr="00E35988">
        <w:t xml:space="preserve"> well-being negatively, but earlier studies mainly focused on the commonalities between people instead of on individual differences (e.g. Barrett et al., 2021). Some studies indicate individual differences in the relation between social restrictions and well-being, such as extraverts who suffered more than </w:t>
      </w:r>
      <w:proofErr w:type="gramStart"/>
      <w:r w:rsidRPr="00E35988">
        <w:t>introverts</w:t>
      </w:r>
      <w:proofErr w:type="gramEnd"/>
      <w:r w:rsidRPr="00E35988">
        <w:t xml:space="preserve"> from COVID-19 protective measures (</w:t>
      </w:r>
      <w:proofErr w:type="spellStart"/>
      <w:r w:rsidRPr="00E35988">
        <w:t>Wijngaards</w:t>
      </w:r>
      <w:proofErr w:type="spellEnd"/>
      <w:r w:rsidRPr="00E35988">
        <w:t xml:space="preserve"> et al., </w:t>
      </w:r>
      <w:r w:rsidRPr="00E35988">
        <w:lastRenderedPageBreak/>
        <w:t xml:space="preserve">2020). Individual differences could explain contradicting results regarding the well-being of people during the Covid-19 pandemic. </w:t>
      </w:r>
      <w:r>
        <w:t xml:space="preserve">An increase in psychological symptoms such as depression and anxiety has been reported (see </w:t>
      </w:r>
      <w:proofErr w:type="spellStart"/>
      <w:r>
        <w:t>Vindegaard</w:t>
      </w:r>
      <w:proofErr w:type="spellEnd"/>
      <w:r>
        <w:t xml:space="preserve"> et al., 2020 for a review), also directly related to the strength of restrictions and number of COVID-19 related deaths (</w:t>
      </w:r>
      <w:proofErr w:type="spellStart"/>
      <w:r w:rsidRPr="00E35988">
        <w:t>Atzendorf</w:t>
      </w:r>
      <w:proofErr w:type="spellEnd"/>
      <w:r w:rsidRPr="00E35988">
        <w:t xml:space="preserve"> &amp; Gruber, 2021</w:t>
      </w:r>
      <w:r>
        <w:t xml:space="preserve">), and a decrease in happiness has also been observed (EHERO, 2020). However, several studies also report either no </w:t>
      </w:r>
      <w:r w:rsidRPr="00E35988">
        <w:t>difference in well-being before and after the virus outbreak (Statistics Netherlands, 2021</w:t>
      </w:r>
      <w:r>
        <w:t xml:space="preserve">), or </w:t>
      </w:r>
      <w:r w:rsidRPr="00E35988">
        <w:t xml:space="preserve">a decrease in depressive symptoms (Andersen et al., 2020). In this </w:t>
      </w:r>
      <w:proofErr w:type="gramStart"/>
      <w:r w:rsidRPr="00E35988">
        <w:t>study</w:t>
      </w:r>
      <w:proofErr w:type="gramEnd"/>
      <w:r w:rsidRPr="00E35988">
        <w:t xml:space="preserve"> we aim to investigate which trajectories of happiness can be observed during times of social restrictions, and what</w:t>
      </w:r>
      <w:r w:rsidRPr="00E35988">
        <w:rPr>
          <w:b/>
        </w:rPr>
        <w:t xml:space="preserve"> </w:t>
      </w:r>
      <w:r w:rsidRPr="00E35988">
        <w:t>demographic, social or personal characteristics</w:t>
      </w:r>
      <w:r w:rsidRPr="00E35988">
        <w:rPr>
          <w:b/>
        </w:rPr>
        <w:t xml:space="preserve"> </w:t>
      </w:r>
      <w:r w:rsidRPr="00E35988">
        <w:t>characterize these trajectories. Especially, we investigate whether some, and if so how many, people fare well during times of social restrictions, and what factors could explain this.</w:t>
      </w:r>
    </w:p>
    <w:p w14:paraId="3370E17B" w14:textId="77777777" w:rsidR="00F47000" w:rsidRPr="00E35988" w:rsidRDefault="00F47000" w:rsidP="008F261B">
      <w:pPr>
        <w:ind w:firstLine="0"/>
      </w:pPr>
      <w:r w:rsidRPr="00E35988">
        <w:rPr>
          <w:b/>
        </w:rPr>
        <w:t>RQ1</w:t>
      </w:r>
      <w:r w:rsidRPr="00E35988">
        <w:t xml:space="preserve">: What trajectories of happiness </w:t>
      </w:r>
      <w:proofErr w:type="gramStart"/>
      <w:r w:rsidRPr="00E35988">
        <w:t>can be distinguished</w:t>
      </w:r>
      <w:proofErr w:type="gramEnd"/>
      <w:r w:rsidRPr="00E35988">
        <w:t xml:space="preserve"> in times of social restrictions?</w:t>
      </w:r>
    </w:p>
    <w:p w14:paraId="0C870DC5" w14:textId="77777777" w:rsidR="00F47000" w:rsidRPr="00E35988" w:rsidRDefault="00F47000" w:rsidP="008F261B">
      <w:r w:rsidRPr="00E35988">
        <w:t xml:space="preserve">We cluster our participants into groups with different happiness trajectories, </w:t>
      </w:r>
      <w:r>
        <w:t xml:space="preserve">for example trajectories with </w:t>
      </w:r>
      <w:r w:rsidRPr="00E35988">
        <w:t>consistently low or consistently high happiness levels</w:t>
      </w:r>
      <w:r>
        <w:t xml:space="preserve">, </w:t>
      </w:r>
      <w:r w:rsidRPr="00E35988">
        <w:t>and have a special interest in participants who experience</w:t>
      </w:r>
      <w:r>
        <w:t>d</w:t>
      </w:r>
      <w:r w:rsidRPr="00E35988">
        <w:t xml:space="preserve"> an increase in happiness</w:t>
      </w:r>
      <w:r>
        <w:t xml:space="preserve">. </w:t>
      </w:r>
      <w:r w:rsidRPr="00E35988">
        <w:t xml:space="preserve">The proportion of each subgroup </w:t>
      </w:r>
      <w:proofErr w:type="gramStart"/>
      <w:r w:rsidRPr="00E35988">
        <w:t>is estimated</w:t>
      </w:r>
      <w:proofErr w:type="gramEnd"/>
      <w:r w:rsidRPr="00E35988">
        <w:t xml:space="preserve"> and these different trajectories are linked to (trajectories of) demographics, subjective personal characteristics</w:t>
      </w:r>
      <w:r>
        <w:t>,</w:t>
      </w:r>
      <w:r w:rsidRPr="00E35988">
        <w:t xml:space="preserve"> and social interaction. These associations allow us to characterize the specific clusters of happiness trajectories that we distinguish.  </w:t>
      </w:r>
    </w:p>
    <w:p w14:paraId="3427E920" w14:textId="77777777" w:rsidR="00F47000" w:rsidRPr="00E35988" w:rsidRDefault="00F47000" w:rsidP="008F261B">
      <w:pPr>
        <w:ind w:firstLine="0"/>
      </w:pPr>
      <w:r w:rsidRPr="00E35988">
        <w:rPr>
          <w:b/>
        </w:rPr>
        <w:t>RQ2:</w:t>
      </w:r>
      <w:r w:rsidRPr="00E35988">
        <w:t xml:space="preserve"> </w:t>
      </w:r>
      <w:proofErr w:type="gramStart"/>
      <w:r w:rsidRPr="00E35988">
        <w:t>Can happiness trajectories be characterized</w:t>
      </w:r>
      <w:proofErr w:type="gramEnd"/>
      <w:r w:rsidRPr="00E35988">
        <w:t xml:space="preserve"> by demographic, social or personal characteristics? </w:t>
      </w:r>
    </w:p>
    <w:p w14:paraId="7A27510E" w14:textId="77777777" w:rsidR="00F47000" w:rsidRPr="00E35988" w:rsidRDefault="00F47000" w:rsidP="008F261B">
      <w:r w:rsidRPr="00E35988">
        <w:t>Previous work suggested the average happiness score in the Dutch population (scale 0-10) decreased from 7.5 (February 2020) to 6.3 at the end of March and early April 2020 (</w:t>
      </w:r>
      <w:hyperlink r:id="rId5">
        <w:r w:rsidRPr="00E35988">
          <w:t>EHERO</w:t>
        </w:r>
      </w:hyperlink>
      <w:r w:rsidRPr="00E35988">
        <w:t xml:space="preserve">, 2020), in about 65% of the respondents, while 23% remained stable, and 11% became more happy than before the COVID-19 pandemic. In the current </w:t>
      </w:r>
      <w:proofErr w:type="gramStart"/>
      <w:r w:rsidRPr="00E35988">
        <w:t>proposal</w:t>
      </w:r>
      <w:proofErr w:type="gramEnd"/>
      <w:r w:rsidRPr="00E35988">
        <w:t xml:space="preserve"> we cover several countries and extend upon estimates of such trajectories by characterizing cluster differences in terms of age, gender, education levels, and social contact.</w:t>
      </w:r>
    </w:p>
    <w:p w14:paraId="0AF61175" w14:textId="39B56803" w:rsidR="00F77D23" w:rsidRPr="00921549" w:rsidRDefault="00921549" w:rsidP="00921549">
      <w:pPr>
        <w:pStyle w:val="Heading2"/>
      </w:pPr>
      <w:r w:rsidRPr="00921549">
        <w:lastRenderedPageBreak/>
        <w:t>Different happiness trajectories</w:t>
      </w:r>
    </w:p>
    <w:p w14:paraId="0AA545D7" w14:textId="48193AEA" w:rsidR="00F47000" w:rsidRPr="00E35988" w:rsidRDefault="00F47000" w:rsidP="008F261B">
      <w:r w:rsidRPr="00E35988">
        <w:t xml:space="preserve">Although the trajectory analysis is data driven, we do have expectations about the different happiness trajectories that we might find. Namely, we expect to distinguish between at least three different happiness trajectories. </w:t>
      </w:r>
    </w:p>
    <w:p w14:paraId="0174F983" w14:textId="3534CD53" w:rsidR="00F47000" w:rsidRPr="00E35988" w:rsidRDefault="00921549" w:rsidP="008F261B">
      <w:r>
        <w:t>First, m</w:t>
      </w:r>
      <w:r w:rsidR="00F47000" w:rsidRPr="00E35988">
        <w:t xml:space="preserve">ajor life events can have strong effects on well-being and happiness, and although they can have lasting effects (Lucas et al., 2007, </w:t>
      </w:r>
      <w:proofErr w:type="spellStart"/>
      <w:r w:rsidR="00F47000" w:rsidRPr="00E35988">
        <w:t>Luhmann</w:t>
      </w:r>
      <w:proofErr w:type="spellEnd"/>
      <w:r w:rsidR="00F47000" w:rsidRPr="00E35988">
        <w:t xml:space="preserve"> et al., 2011), most people's cognitive and emotional reactions lessen with time. This process </w:t>
      </w:r>
      <w:proofErr w:type="gramStart"/>
      <w:r w:rsidR="00F47000" w:rsidRPr="00E35988">
        <w:t>is called</w:t>
      </w:r>
      <w:proofErr w:type="gramEnd"/>
      <w:r w:rsidR="00F47000" w:rsidRPr="00E35988">
        <w:t xml:space="preserve"> hedonic adaptation (Frederick &amp; </w:t>
      </w:r>
      <w:proofErr w:type="spellStart"/>
      <w:r w:rsidR="00F47000" w:rsidRPr="00E35988">
        <w:t>Loewestein</w:t>
      </w:r>
      <w:proofErr w:type="spellEnd"/>
      <w:r w:rsidR="00F47000" w:rsidRPr="00E35988">
        <w:t xml:space="preserve">, 1999). However, the rate with which people adapt to such experiences varies across individuals and across life events (Diener et al., 2009; Lucas et al., 2007; </w:t>
      </w:r>
      <w:proofErr w:type="spellStart"/>
      <w:r w:rsidR="00F47000" w:rsidRPr="00E35988">
        <w:t>Luhmann</w:t>
      </w:r>
      <w:proofErr w:type="spellEnd"/>
      <w:r w:rsidR="00F47000" w:rsidRPr="00E35988">
        <w:t xml:space="preserve"> et al., 2011; Specht et al., 2011). With regard to the COVID-19 pandemic, </w:t>
      </w:r>
      <w:proofErr w:type="spellStart"/>
      <w:r w:rsidR="00F47000" w:rsidRPr="00E35988">
        <w:t>Buecker</w:t>
      </w:r>
      <w:proofErr w:type="spellEnd"/>
      <w:r w:rsidR="00F47000" w:rsidRPr="00E35988">
        <w:t xml:space="preserve"> et al. (2020) showed that Germans felt slightly more lonely after pandemic-related measures were activated, but this increased loneliness decreased again after two weeks. A study in the </w:t>
      </w:r>
      <w:proofErr w:type="spellStart"/>
      <w:r w:rsidR="00F47000" w:rsidRPr="00E35988">
        <w:t>PsyCorona</w:t>
      </w:r>
      <w:proofErr w:type="spellEnd"/>
      <w:r w:rsidR="00F47000" w:rsidRPr="00E35988">
        <w:t xml:space="preserve"> dataset showed hedonic adaptation in terms of positive and negative affect to the government restrictions to mitigate the coronavirus over the first 12 weeks of the pandemic (</w:t>
      </w:r>
      <w:proofErr w:type="spellStart"/>
      <w:r w:rsidR="00F47000" w:rsidRPr="00E35988">
        <w:t>Reitsema</w:t>
      </w:r>
      <w:proofErr w:type="spellEnd"/>
      <w:r w:rsidR="00F47000" w:rsidRPr="00E35988">
        <w:t xml:space="preserve"> et al., </w:t>
      </w:r>
      <w:r w:rsidR="00F47000">
        <w:t>in progress</w:t>
      </w:r>
      <w:r w:rsidR="00F47000" w:rsidRPr="00E35988">
        <w:t>).</w:t>
      </w:r>
    </w:p>
    <w:p w14:paraId="7F94D719" w14:textId="77777777" w:rsidR="00F47000" w:rsidRPr="00E35988" w:rsidRDefault="00F47000" w:rsidP="008F261B">
      <w:r w:rsidRPr="00E35988">
        <w:t xml:space="preserve">Therefore, we expect that the majority of people experienced a temporary decrease in happiness, but adjusted to the new situation. As our measurements started when the severity of social restrictions was increasing in most countries (March 2020), this will translate into a trajectory that starts with a decrease in happiness, but increases and then stabilizes after some time. </w:t>
      </w:r>
      <w:r w:rsidRPr="00E35988">
        <w:rPr>
          <w:u w:val="single"/>
        </w:rPr>
        <w:t>The first trajectory</w:t>
      </w:r>
      <w:r w:rsidRPr="00E35988">
        <w:t xml:space="preserve"> </w:t>
      </w:r>
      <w:proofErr w:type="gramStart"/>
      <w:r w:rsidRPr="00E35988">
        <w:t>is thus expected to be characterized</w:t>
      </w:r>
      <w:proofErr w:type="gramEnd"/>
      <w:r w:rsidRPr="00E35988">
        <w:t xml:space="preserve"> by low happiness levels during the first measurement weeks, but higher stable happiness levels thereafter. </w:t>
      </w:r>
    </w:p>
    <w:p w14:paraId="0C0CE959" w14:textId="7D8110DC" w:rsidR="00F47000" w:rsidRPr="00E35988" w:rsidRDefault="00921549" w:rsidP="008F261B">
      <w:pPr>
        <w:rPr>
          <w:sz w:val="20"/>
          <w:szCs w:val="20"/>
          <w:highlight w:val="white"/>
        </w:rPr>
      </w:pPr>
      <w:r>
        <w:t>Second, a</w:t>
      </w:r>
      <w:r w:rsidR="00F47000" w:rsidRPr="00E35988">
        <w:t xml:space="preserve">daptation to negative events is not always possible. For </w:t>
      </w:r>
      <w:proofErr w:type="gramStart"/>
      <w:r w:rsidR="00F47000" w:rsidRPr="00E35988">
        <w:t>example</w:t>
      </w:r>
      <w:proofErr w:type="gramEnd"/>
      <w:r w:rsidR="00F47000" w:rsidRPr="00E35988">
        <w:t xml:space="preserve"> some individuals' circumstances could have changed to such a large extent that they were not able to compensate for their loss in happiness in different ways. </w:t>
      </w:r>
      <w:proofErr w:type="gramStart"/>
      <w:r w:rsidR="00F47000" w:rsidRPr="00E35988">
        <w:t xml:space="preserve">Think, for example, of people who lost their job due to COVID-19 and cannot easily find another job (Lucas et al, 2004), older adults who cannot fulfill their social </w:t>
      </w:r>
      <w:r w:rsidR="00F47000" w:rsidRPr="00E35988">
        <w:lastRenderedPageBreak/>
        <w:t>needs because of being in a medical risk group (adhering even more to the social restrictions), or younger people whose social engagement is affected more by social restrictions as they have a higher number of less close social partners and derive more satisfaction from these (English &amp; Carstensen, 2014; Wrzus et al., 2013).</w:t>
      </w:r>
      <w:proofErr w:type="gramEnd"/>
    </w:p>
    <w:p w14:paraId="6660C5BC" w14:textId="77777777" w:rsidR="00F47000" w:rsidRPr="00E35988" w:rsidRDefault="00F47000" w:rsidP="008F261B">
      <w:r w:rsidRPr="00E35988">
        <w:t xml:space="preserve">Therefore, we also expect a group of people who experienced a decrease in happiness, but were not able to adjust to the new situation. This would translate to a trajectory with consistently low happiness levels. </w:t>
      </w:r>
      <w:r w:rsidRPr="00E35988">
        <w:rPr>
          <w:u w:val="single"/>
        </w:rPr>
        <w:t>The second trajectory</w:t>
      </w:r>
      <w:r w:rsidRPr="00E35988">
        <w:t xml:space="preserve"> </w:t>
      </w:r>
      <w:proofErr w:type="gramStart"/>
      <w:r w:rsidRPr="00E35988">
        <w:t>is thus expected</w:t>
      </w:r>
      <w:proofErr w:type="gramEnd"/>
      <w:r w:rsidRPr="00E35988">
        <w:t xml:space="preserve"> to show consistently low happiness levels. </w:t>
      </w:r>
    </w:p>
    <w:p w14:paraId="298EA54D" w14:textId="3F078DEC" w:rsidR="00F47000" w:rsidRPr="00E35988" w:rsidRDefault="00921549" w:rsidP="008F261B">
      <w:r>
        <w:t>Third, f</w:t>
      </w:r>
      <w:r w:rsidR="00F47000" w:rsidRPr="00E35988">
        <w:t>or some people, the social restrictions might have provided an opportunity to make positive changes. For example, they might have benefited from reduced environmental stimulation (Aron et al., 2012), or they might have experienced less stress as they had less obligations, or because they had few social interactions to begin with and were therefore less affected by social restrictions. For instance, introverts experienced less depressive symptoms after COVID-19 protective measures, while extraverts did not (</w:t>
      </w:r>
      <w:proofErr w:type="spellStart"/>
      <w:r w:rsidR="00F47000" w:rsidRPr="00E35988">
        <w:t>Wijngaards</w:t>
      </w:r>
      <w:proofErr w:type="spellEnd"/>
      <w:r w:rsidR="00F47000" w:rsidRPr="00E35988">
        <w:t xml:space="preserve"> et al., 2020).</w:t>
      </w:r>
    </w:p>
    <w:p w14:paraId="606832F1" w14:textId="093D5631" w:rsidR="00F47000" w:rsidRDefault="00F47000" w:rsidP="008F261B">
      <w:r w:rsidRPr="00E35988">
        <w:t>Therefore, we also expect a group of people who did not experience a decline in happiness, but who might have even experienced increased happiness during the social restrictions. This would translate into a trajectory of consistently high happiness levels</w:t>
      </w:r>
      <w:r>
        <w:t>, as we started the measurements after the social restrictions were in place</w:t>
      </w:r>
      <w:r w:rsidRPr="00E35988">
        <w:t xml:space="preserve">. </w:t>
      </w:r>
      <w:r w:rsidRPr="00E35988">
        <w:rPr>
          <w:u w:val="single"/>
        </w:rPr>
        <w:t>The third trajectory</w:t>
      </w:r>
      <w:r w:rsidRPr="00E35988">
        <w:t xml:space="preserve"> </w:t>
      </w:r>
      <w:proofErr w:type="gramStart"/>
      <w:r w:rsidRPr="00E35988">
        <w:t>is thus expected</w:t>
      </w:r>
      <w:proofErr w:type="gramEnd"/>
      <w:r w:rsidRPr="00E35988">
        <w:t xml:space="preserve"> to show consistently high happiness levels.   </w:t>
      </w:r>
    </w:p>
    <w:p w14:paraId="11204310" w14:textId="2B5BB378" w:rsidR="00921549" w:rsidRPr="00E35988" w:rsidRDefault="00921549" w:rsidP="00921549">
      <w:pPr>
        <w:pStyle w:val="Heading2"/>
      </w:pPr>
      <w:r>
        <w:t>Predictors of happiness trajectories</w:t>
      </w:r>
    </w:p>
    <w:p w14:paraId="30F5DDAA" w14:textId="296811B2" w:rsidR="00106BFA" w:rsidRDefault="00106BFA" w:rsidP="008F261B">
      <w:bookmarkStart w:id="1" w:name="_Hlk69475603"/>
      <w:r w:rsidRPr="00E35988">
        <w:t>Mental health is generally positively associated with social resources and with larger and more diverse social networks (</w:t>
      </w:r>
      <w:proofErr w:type="spellStart"/>
      <w:r w:rsidRPr="00E35988">
        <w:t>Thoits</w:t>
      </w:r>
      <w:proofErr w:type="spellEnd"/>
      <w:r w:rsidRPr="00E35988">
        <w:t xml:space="preserve">, 2011; Uchino, 2009). Engaging in social contact, with family, friends, and even acquaintances, was positively associated with happiness in both cross-sectional (Diener &amp; Seligman, 2002) and intensive longitudinal (e.g., diary, experience sampling, Sandstrom &amp; Dunn, 2014) research. In contrast, perceived social isolation and loneliness are detrimental for mental health </w:t>
      </w:r>
      <w:r w:rsidRPr="00E35988">
        <w:lastRenderedPageBreak/>
        <w:t>(</w:t>
      </w:r>
      <w:proofErr w:type="spellStart"/>
      <w:r w:rsidRPr="00E35988">
        <w:t>Hawkley</w:t>
      </w:r>
      <w:proofErr w:type="spellEnd"/>
      <w:r w:rsidRPr="00E35988">
        <w:t xml:space="preserve"> et al., 2010). Social restrictions might increase loneliness for some </w:t>
      </w:r>
      <w:proofErr w:type="gramStart"/>
      <w:r w:rsidRPr="00E35988">
        <w:t>people</w:t>
      </w:r>
      <w:proofErr w:type="gramEnd"/>
      <w:r w:rsidRPr="00E35988">
        <w:t xml:space="preserve"> as face-to-face contact is restricted, although the pandemic may have also brought on more opportunities for online connection. Face-to-face contact has been associated with reduced negative mental health changes, while online contact was associated with increased negative mental health changes due to the COVID-19 pandemic (</w:t>
      </w:r>
      <w:proofErr w:type="spellStart"/>
      <w:r w:rsidRPr="00E35988">
        <w:t>Litwin</w:t>
      </w:r>
      <w:proofErr w:type="spellEnd"/>
      <w:r w:rsidRPr="00E35988">
        <w:t xml:space="preserve"> &amp; </w:t>
      </w:r>
      <w:proofErr w:type="spellStart"/>
      <w:r w:rsidRPr="00E35988">
        <w:t>Levinsky</w:t>
      </w:r>
      <w:proofErr w:type="spellEnd"/>
      <w:r w:rsidRPr="00E35988">
        <w:t xml:space="preserve">, 2021).  A previous study examining the protective effects of social resources in February and March 2020 (Marroquin et al., 2020) showed that although social resources were associated with fewer psychological symptoms, the presence of these resources did not fully eliminate the impact of social distancing. That is, stay-at-home orders and (private) social distancing were associated with increased symptoms of mental health problems, </w:t>
      </w:r>
      <w:proofErr w:type="gramStart"/>
      <w:r w:rsidRPr="00E35988">
        <w:t>above and beyond</w:t>
      </w:r>
      <w:proofErr w:type="gramEnd"/>
      <w:r w:rsidRPr="00E35988">
        <w:t xml:space="preserve"> the protective effects of social support and social network size. </w:t>
      </w:r>
    </w:p>
    <w:p w14:paraId="67FAECE1" w14:textId="0EA8E756" w:rsidR="00106BFA" w:rsidRDefault="00FE6606" w:rsidP="008F261B">
      <w:r>
        <w:t>For these reasons, we examine several kinds of social contact in relation to the different happiness trajectories, namely: the a</w:t>
      </w:r>
      <w:r w:rsidR="00106BFA" w:rsidRPr="00E35988">
        <w:t>mount of social contact</w:t>
      </w:r>
      <w:r>
        <w:t xml:space="preserve"> (face-to-face and online) with friends or relatives and with others, the times leaving the house, and the strength of the social restrictions (stringency).</w:t>
      </w:r>
    </w:p>
    <w:p w14:paraId="042FE104" w14:textId="523275B9" w:rsidR="00106BFA" w:rsidRPr="00F556AF" w:rsidRDefault="00106BFA" w:rsidP="00921549">
      <w:r>
        <w:t>P</w:t>
      </w:r>
      <w:r w:rsidRPr="00E35988">
        <w:t>erceived social isolation and loneliness are detrimental for mental health (</w:t>
      </w:r>
      <w:proofErr w:type="spellStart"/>
      <w:r w:rsidRPr="00E35988">
        <w:t>Hawkley</w:t>
      </w:r>
      <w:proofErr w:type="spellEnd"/>
      <w:r w:rsidRPr="00E35988">
        <w:t xml:space="preserve"> et al., 2010).</w:t>
      </w:r>
      <w:r>
        <w:t xml:space="preserve"> </w:t>
      </w:r>
      <w:r w:rsidRPr="00E35988" w:rsidDel="00AF6F23">
        <w:t>People higher in neuroticism might be less able to deal with the uncertainty of the pandemic.</w:t>
      </w:r>
      <w:r>
        <w:t xml:space="preserve"> </w:t>
      </w:r>
      <w:r w:rsidRPr="00E35988">
        <w:t xml:space="preserve">Additionally, knowing someone with corona might make people unhappy because they care and are afraid for the sick person, but people who do not know someone with corona might view the pandemic as less serious, and subsequently feel </w:t>
      </w:r>
      <w:proofErr w:type="gramStart"/>
      <w:r w:rsidRPr="00E35988">
        <w:t>more unhappy</w:t>
      </w:r>
      <w:proofErr w:type="gramEnd"/>
      <w:r w:rsidRPr="00E35988">
        <w:t xml:space="preserve"> about the restrictions.</w:t>
      </w:r>
      <w:r w:rsidR="00834652">
        <w:t xml:space="preserve"> We therefore include the following </w:t>
      </w:r>
      <w:r w:rsidR="00834652" w:rsidRPr="00834652">
        <w:rPr>
          <w:u w:val="single"/>
        </w:rPr>
        <w:t>subjective personal characteristics</w:t>
      </w:r>
      <w:r w:rsidR="00834652">
        <w:t>: s</w:t>
      </w:r>
      <w:r w:rsidRPr="00E35988">
        <w:t>atisfaction with relationships</w:t>
      </w:r>
      <w:r w:rsidR="00834652">
        <w:t>, l</w:t>
      </w:r>
      <w:r w:rsidRPr="00E35988">
        <w:t>oneliness</w:t>
      </w:r>
      <w:r w:rsidR="00834652">
        <w:t>, n</w:t>
      </w:r>
      <w:r w:rsidRPr="00E35988" w:rsidDel="00AF6F23">
        <w:t>euroticism</w:t>
      </w:r>
      <w:r w:rsidR="00834652">
        <w:t>, f</w:t>
      </w:r>
      <w:r w:rsidRPr="00E35988">
        <w:t>inancial strain</w:t>
      </w:r>
      <w:r w:rsidR="00834652">
        <w:t>, k</w:t>
      </w:r>
      <w:r w:rsidRPr="00E35988">
        <w:t>nowing someone with COVID-19 virus</w:t>
      </w:r>
      <w:r w:rsidR="00834652">
        <w:t>.</w:t>
      </w:r>
    </w:p>
    <w:p w14:paraId="6BDC0BCB" w14:textId="1E86E723" w:rsidR="00106BFA" w:rsidRDefault="00834652" w:rsidP="008F261B">
      <w:r>
        <w:t xml:space="preserve">We also included several </w:t>
      </w:r>
      <w:r w:rsidRPr="00834652">
        <w:rPr>
          <w:u w:val="single"/>
        </w:rPr>
        <w:t>demographics</w:t>
      </w:r>
      <w:r>
        <w:t xml:space="preserve">. First, we included </w:t>
      </w:r>
      <w:r w:rsidRPr="00834652">
        <w:rPr>
          <w:u w:val="single"/>
        </w:rPr>
        <w:t>gender</w:t>
      </w:r>
      <w:r>
        <w:t xml:space="preserve">. </w:t>
      </w:r>
      <w:r w:rsidR="00106BFA" w:rsidRPr="00E35988">
        <w:t xml:space="preserve">Research focusing on psychological symptoms and distress suggests that the pandemic might have a gendered impact. It is mostly female-dominated employment that </w:t>
      </w:r>
      <w:proofErr w:type="gramStart"/>
      <w:r w:rsidR="00106BFA" w:rsidRPr="00E35988">
        <w:t>is affected</w:t>
      </w:r>
      <w:proofErr w:type="gramEnd"/>
      <w:r w:rsidR="00106BFA" w:rsidRPr="00E35988">
        <w:t xml:space="preserve"> by social distancing (Adams-</w:t>
      </w:r>
      <w:proofErr w:type="spellStart"/>
      <w:r w:rsidR="00106BFA" w:rsidRPr="00E35988">
        <w:t>Prassl</w:t>
      </w:r>
      <w:proofErr w:type="spellEnd"/>
      <w:r w:rsidR="00106BFA" w:rsidRPr="00E35988">
        <w:t xml:space="preserve"> et al., 2020). </w:t>
      </w:r>
      <w:r w:rsidR="00106BFA" w:rsidRPr="00E35988">
        <w:lastRenderedPageBreak/>
        <w:t xml:space="preserve">Stay-at-home orders have increased household work and childcare, tasks that </w:t>
      </w:r>
      <w:proofErr w:type="gramStart"/>
      <w:r w:rsidR="00106BFA" w:rsidRPr="00E35988">
        <w:t>have been taken</w:t>
      </w:r>
      <w:proofErr w:type="gramEnd"/>
      <w:r w:rsidR="00106BFA" w:rsidRPr="00E35988">
        <w:t xml:space="preserve"> on more by women than by men. Additionally, domestic violence has increased which disproportionately affects females (Leslie et al., 2020). </w:t>
      </w:r>
    </w:p>
    <w:p w14:paraId="2850B4A3" w14:textId="78B40952" w:rsidR="00FE6606" w:rsidRDefault="00834652" w:rsidP="008F261B">
      <w:r>
        <w:t xml:space="preserve">Second, we include </w:t>
      </w:r>
      <w:r w:rsidRPr="00FE6606">
        <w:rPr>
          <w:u w:val="single"/>
        </w:rPr>
        <w:t>age.</w:t>
      </w:r>
      <w:r>
        <w:t xml:space="preserve"> </w:t>
      </w:r>
      <w:r w:rsidR="00106BFA" w:rsidRPr="00E35988">
        <w:t xml:space="preserve">Younger people benefit more from </w:t>
      </w:r>
      <w:proofErr w:type="gramStart"/>
      <w:r w:rsidR="00106BFA" w:rsidRPr="00E35988">
        <w:t>more distant connections</w:t>
      </w:r>
      <w:proofErr w:type="gramEnd"/>
      <w:r w:rsidR="00106BFA" w:rsidRPr="00E35988">
        <w:t xml:space="preserve"> and generally spend more time in group contexts, which are restricted by the COVID regulations. The number of less close social partners ('weak ties') is higher for adolescents and young adults compared to older adults. Social networks increase in size in young adulthood and decline throughout later adulthood, with reductions seen primarily in the number of such weak ties (Wrzus et al., 2013). Relatedly, older adults derive </w:t>
      </w:r>
      <w:proofErr w:type="gramStart"/>
      <w:r w:rsidR="00106BFA" w:rsidRPr="00E35988">
        <w:t>more emotional satisfaction from contact</w:t>
      </w:r>
      <w:proofErr w:type="gramEnd"/>
      <w:r w:rsidR="00106BFA" w:rsidRPr="00E35988">
        <w:t xml:space="preserve"> with close ties such as family members and close friends (English &amp; Carstensen, 2014). </w:t>
      </w:r>
      <w:proofErr w:type="gramStart"/>
      <w:r w:rsidR="00106BFA" w:rsidRPr="00E35988">
        <w:t>Social distancing during the COVID-19 pandemic primarily reduces contact with weak social ties, and would therefore disproportionately affect young adults' social life.</w:t>
      </w:r>
      <w:proofErr w:type="gramEnd"/>
      <w:r w:rsidR="00106BFA" w:rsidRPr="00E35988">
        <w:t xml:space="preserve"> However, loneliness increased more strongly for older people than younger people after pandemic-related measures were activated (</w:t>
      </w:r>
      <w:proofErr w:type="spellStart"/>
      <w:r w:rsidR="00106BFA" w:rsidRPr="00E35988">
        <w:t>Buecker</w:t>
      </w:r>
      <w:proofErr w:type="spellEnd"/>
      <w:r w:rsidR="00106BFA" w:rsidRPr="00E35988">
        <w:t>, 2020).</w:t>
      </w:r>
      <w:r w:rsidR="00106BFA">
        <w:t xml:space="preserve"> </w:t>
      </w:r>
    </w:p>
    <w:p w14:paraId="25E24445" w14:textId="32A86674" w:rsidR="00106BFA" w:rsidRPr="00E35988" w:rsidRDefault="00FE6606" w:rsidP="008F261B">
      <w:r>
        <w:t xml:space="preserve">Third, we include </w:t>
      </w:r>
      <w:r w:rsidRPr="00FE6606">
        <w:rPr>
          <w:u w:val="single"/>
        </w:rPr>
        <w:t>education and employment status</w:t>
      </w:r>
      <w:r>
        <w:t xml:space="preserve">. </w:t>
      </w:r>
      <w:r w:rsidR="00106BFA" w:rsidRPr="00E35988">
        <w:t>The pandemic brought on major economic changes, with increased unemployment, decreased work hours, and increased labor market inequalities (Beland et al., 2020).</w:t>
      </w:r>
      <w:r>
        <w:t xml:space="preserve"> P</w:t>
      </w:r>
      <w:r w:rsidRPr="00D76B41">
        <w:t>eople with low education are more likely to lose their job due to the social restrictions</w:t>
      </w:r>
      <w:r>
        <w:t xml:space="preserve">. </w:t>
      </w:r>
      <w:r w:rsidR="00106BFA" w:rsidRPr="00E35988">
        <w:t xml:space="preserve">Such economic consequences can have a large impact on well-being. </w:t>
      </w:r>
    </w:p>
    <w:p w14:paraId="7FE38D23" w14:textId="13D65F73" w:rsidR="00106BFA" w:rsidRPr="00F556AF" w:rsidRDefault="00FE6606" w:rsidP="00921549">
      <w:r>
        <w:t xml:space="preserve">Fourth, we include the </w:t>
      </w:r>
      <w:r w:rsidRPr="00FE6606">
        <w:rPr>
          <w:u w:val="single"/>
        </w:rPr>
        <w:t>living situation</w:t>
      </w:r>
      <w:r>
        <w:t xml:space="preserve">. </w:t>
      </w:r>
      <w:r w:rsidR="00106BFA" w:rsidRPr="00E35988">
        <w:t xml:space="preserve">People who live with children have to balance homeschooling with their normal activities, but people who live alone have </w:t>
      </w:r>
      <w:proofErr w:type="gramStart"/>
      <w:r w:rsidR="00106BFA" w:rsidRPr="00E35988">
        <w:t>less opportunities</w:t>
      </w:r>
      <w:proofErr w:type="gramEnd"/>
      <w:r w:rsidR="00106BFA" w:rsidRPr="00E35988">
        <w:t xml:space="preserve"> for social interaction, especially during social restrictions. Loneliness increased more strongly for parents than for people without children after pandemic-related measures were activated (</w:t>
      </w:r>
      <w:proofErr w:type="spellStart"/>
      <w:r w:rsidR="00106BFA" w:rsidRPr="00E35988">
        <w:t>Buecker</w:t>
      </w:r>
      <w:proofErr w:type="spellEnd"/>
      <w:r w:rsidR="00106BFA" w:rsidRPr="00E35988">
        <w:t xml:space="preserve">, 2020). </w:t>
      </w:r>
    </w:p>
    <w:p w14:paraId="57AA76B8" w14:textId="5108ECCC" w:rsidR="00106BFA" w:rsidRDefault="00FE6606" w:rsidP="008F261B">
      <w:r>
        <w:t xml:space="preserve">Fifth, we include </w:t>
      </w:r>
      <w:r w:rsidRPr="00FE6606">
        <w:rPr>
          <w:u w:val="single"/>
        </w:rPr>
        <w:t>physical health</w:t>
      </w:r>
      <w:r>
        <w:t xml:space="preserve">. </w:t>
      </w:r>
      <w:r w:rsidR="00106BFA" w:rsidRPr="00E35988" w:rsidDel="00AF6F23">
        <w:t>People with worse physical health are more dependent on others and for them the social restrictions might especially hinder contact (e.g. living in nursing homes).</w:t>
      </w:r>
    </w:p>
    <w:p w14:paraId="7BAFFC1E" w14:textId="1DFE03A2" w:rsidR="00FE6606" w:rsidRDefault="00FE6606" w:rsidP="00921549">
      <w:r>
        <w:lastRenderedPageBreak/>
        <w:t xml:space="preserve">Sixth, we include </w:t>
      </w:r>
      <w:r w:rsidRPr="00FE6606">
        <w:rPr>
          <w:u w:val="single"/>
        </w:rPr>
        <w:t>country</w:t>
      </w:r>
      <w:r>
        <w:t xml:space="preserve"> and </w:t>
      </w:r>
      <w:r w:rsidRPr="00FE6606">
        <w:rPr>
          <w:u w:val="single"/>
        </w:rPr>
        <w:t>country of origin</w:t>
      </w:r>
      <w:r>
        <w:t xml:space="preserve">. </w:t>
      </w:r>
      <w:r w:rsidR="00106BFA" w:rsidRPr="00E35988" w:rsidDel="00AF6F23">
        <w:t>For people that do not live in their country of origin, travel restrictions might hinder contact with their family/friends.</w:t>
      </w:r>
      <w:r>
        <w:t xml:space="preserve"> </w:t>
      </w:r>
      <w:r w:rsidR="00106BFA" w:rsidRPr="00E35988">
        <w:t>A previous study (</w:t>
      </w:r>
      <w:proofErr w:type="spellStart"/>
      <w:r w:rsidR="00106BFA" w:rsidRPr="00E35988">
        <w:t>Reitsema</w:t>
      </w:r>
      <w:proofErr w:type="spellEnd"/>
      <w:r w:rsidR="00106BFA" w:rsidRPr="00E35988">
        <w:t xml:space="preserve"> et al., in progress) showed little variation between countries in the association between severity of social restrictions on the one hand and positive and negative affect on the other, but this included only the first weeks of the pandemic when stringency was still very similar for different countries. With more diverse stringency patterns, country differences might be larger. </w:t>
      </w:r>
      <w:bookmarkEnd w:id="1"/>
    </w:p>
    <w:p w14:paraId="5859DB99" w14:textId="07C88F38" w:rsidR="00F77D23" w:rsidRDefault="00F77D23" w:rsidP="00921549">
      <w:pPr>
        <w:pStyle w:val="Heading1"/>
      </w:pPr>
      <w:r w:rsidRPr="00F77D23">
        <w:t>Methods</w:t>
      </w:r>
    </w:p>
    <w:p w14:paraId="1AFA3859" w14:textId="11A00C7D" w:rsidR="00F77D23" w:rsidRPr="00F77D23" w:rsidRDefault="00F77D23" w:rsidP="00921549">
      <w:pPr>
        <w:pStyle w:val="Heading2"/>
      </w:pPr>
      <w:r>
        <w:t>Data collection</w:t>
      </w:r>
    </w:p>
    <w:p w14:paraId="0C506914" w14:textId="204D7C90" w:rsidR="00F77D23" w:rsidRPr="00E35988" w:rsidRDefault="00F77D23" w:rsidP="008F261B">
      <w:r w:rsidRPr="00E35988">
        <w:t xml:space="preserve">The </w:t>
      </w:r>
      <w:proofErr w:type="spellStart"/>
      <w:r w:rsidRPr="00E35988">
        <w:t>PsyCorona</w:t>
      </w:r>
      <w:proofErr w:type="spellEnd"/>
      <w:r w:rsidRPr="00E35988">
        <w:t xml:space="preserve"> research project is an international </w:t>
      </w:r>
      <w:proofErr w:type="gramStart"/>
      <w:r w:rsidRPr="00E35988">
        <w:t>collaboration which</w:t>
      </w:r>
      <w:proofErr w:type="gramEnd"/>
      <w:r w:rsidRPr="00E35988">
        <w:t xml:space="preserve"> aims to examine the psychological processes involved in the COVID-19 pandemic (see https://psycorona.org/). The </w:t>
      </w:r>
      <w:proofErr w:type="gramStart"/>
      <w:r w:rsidRPr="00E35988">
        <w:t>research was approved by the Ethics Committees of the University of Groningen (PSY1920-S-0390) and New York University Abu Dhabi (HRPP-2020-42)</w:t>
      </w:r>
      <w:proofErr w:type="gramEnd"/>
      <w:r w:rsidRPr="00E35988">
        <w:t xml:space="preserve">. The design of the dataset and procedure of the data collection </w:t>
      </w:r>
      <w:proofErr w:type="gramStart"/>
      <w:r w:rsidRPr="00E35988">
        <w:t>can be found</w:t>
      </w:r>
      <w:proofErr w:type="gramEnd"/>
      <w:r w:rsidRPr="00E35988">
        <w:t xml:space="preserve"> in Leander et al. (2020).</w:t>
      </w:r>
    </w:p>
    <w:p w14:paraId="03DBE755" w14:textId="75A03CB4" w:rsidR="00F77D23" w:rsidRDefault="00F77D23" w:rsidP="008F261B">
      <w:r w:rsidRPr="00E35988">
        <w:t xml:space="preserve">The study </w:t>
      </w:r>
      <w:proofErr w:type="gramStart"/>
      <w:r w:rsidRPr="00E35988">
        <w:t>was launched</w:t>
      </w:r>
      <w:proofErr w:type="gramEnd"/>
      <w:r w:rsidRPr="00E35988">
        <w:t xml:space="preserve"> in March 2020 with an initial cross-sectional survey to examine virus-related and lockdown-related behavior, cognition, emotion, and motivation, and this survey was followed by longitudinal assessments to examine change over time in these variables. The initial survey was available in English, Dutch, German, Arabic, Italian, French, and Spanish. Further translations of the survey and follow-up questionnaires </w:t>
      </w:r>
      <w:proofErr w:type="gramStart"/>
      <w:r w:rsidRPr="00E35988">
        <w:t>were added</w:t>
      </w:r>
      <w:proofErr w:type="gramEnd"/>
      <w:r w:rsidRPr="00E35988">
        <w:t xml:space="preserve"> as the network of international collaborators grew, and the survey is currently available in 30 languages. </w:t>
      </w:r>
    </w:p>
    <w:p w14:paraId="2B197000" w14:textId="3B4DA8C5" w:rsidR="00FE6606" w:rsidRDefault="00106BFA" w:rsidP="008F261B">
      <w:r w:rsidRPr="00E35988">
        <w:t xml:space="preserve">The first wave </w:t>
      </w:r>
      <w:proofErr w:type="gramStart"/>
      <w:r w:rsidRPr="00E35988">
        <w:t>was collected</w:t>
      </w:r>
      <w:proofErr w:type="gramEnd"/>
      <w:r w:rsidRPr="00E35988">
        <w:t xml:space="preserve"> in the week of March 27, 2020. Weekly measures were collected until </w:t>
      </w:r>
      <w:proofErr w:type="gramStart"/>
      <w:r w:rsidRPr="00E35988">
        <w:t>June,</w:t>
      </w:r>
      <w:proofErr w:type="gramEnd"/>
      <w:r w:rsidRPr="00E35988">
        <w:t xml:space="preserve"> 2020. After June, measures </w:t>
      </w:r>
      <w:proofErr w:type="gramStart"/>
      <w:r w:rsidRPr="00E35988">
        <w:t>were taken</w:t>
      </w:r>
      <w:proofErr w:type="gramEnd"/>
      <w:r w:rsidRPr="00E35988">
        <w:t xml:space="preserve"> monthly. We take into account all measurements until March 2021 (in total 21 measurement waves). All participants filled out a baseline questionnaire when they first participated, which was also possible after the first wave. </w:t>
      </w:r>
      <w:r w:rsidR="00FE6606" w:rsidRPr="00E35988">
        <w:t xml:space="preserve">We decided to include all </w:t>
      </w:r>
      <w:r w:rsidR="00FE6606" w:rsidRPr="00E35988">
        <w:lastRenderedPageBreak/>
        <w:t>countries, as the first social restrictions happened around March 2020 all over the world</w:t>
      </w:r>
      <w:r w:rsidR="00FE6606">
        <w:t xml:space="preserve"> (see also Supplement 1)</w:t>
      </w:r>
      <w:r w:rsidR="00FE6606" w:rsidRPr="00E35988">
        <w:t xml:space="preserve">. </w:t>
      </w:r>
    </w:p>
    <w:p w14:paraId="168C9472" w14:textId="6FDB8BAC" w:rsidR="00F77D23" w:rsidRPr="00F77D23" w:rsidRDefault="00F77D23" w:rsidP="00921549">
      <w:pPr>
        <w:pStyle w:val="Heading2"/>
      </w:pPr>
      <w:r w:rsidRPr="00F77D23">
        <w:t>Participants</w:t>
      </w:r>
    </w:p>
    <w:p w14:paraId="26464ACC" w14:textId="77777777" w:rsidR="00F77D23" w:rsidRPr="00E35988" w:rsidRDefault="00F77D23" w:rsidP="008F261B">
      <w:r w:rsidRPr="00E35988">
        <w:t xml:space="preserve">Participants </w:t>
      </w:r>
      <w:proofErr w:type="gramStart"/>
      <w:r w:rsidRPr="00E35988">
        <w:t>were recruited</w:t>
      </w:r>
      <w:proofErr w:type="gramEnd"/>
      <w:r w:rsidRPr="00E35988">
        <w:t xml:space="preserve"> to participate in the cross-sectional survey through both convenience sampling and representative sampling, with the latter strategy implemented to achieve national representativeness in key participating countries. This resulted in responses from approximately 60,000 participants globally. Participants </w:t>
      </w:r>
      <w:proofErr w:type="gramStart"/>
      <w:r w:rsidRPr="00E35988">
        <w:t>were invited to participate in the subsequent longitudinal survey and received weekly (from March 2020 through June 2020)</w:t>
      </w:r>
      <w:proofErr w:type="gramEnd"/>
      <w:r w:rsidRPr="00E35988">
        <w:t xml:space="preserve"> or later monthly (from July 2020 and currently ongoing [March 2021]) follow-up surveys via e-mail. Each follow-up assessment has typically received 4,000 responses. In total, about 5000 people participated in these weekly surveys.</w:t>
      </w:r>
    </w:p>
    <w:tbl>
      <w:tblPr>
        <w:tblStyle w:val="TableGrid"/>
        <w:tblW w:w="0" w:type="auto"/>
        <w:tblLook w:val="04A0" w:firstRow="1" w:lastRow="0" w:firstColumn="1" w:lastColumn="0" w:noHBand="0" w:noVBand="1"/>
      </w:tblPr>
      <w:tblGrid>
        <w:gridCol w:w="984"/>
        <w:gridCol w:w="839"/>
        <w:gridCol w:w="871"/>
        <w:gridCol w:w="1011"/>
        <w:gridCol w:w="2595"/>
      </w:tblGrid>
      <w:tr w:rsidR="00D54FF9" w14:paraId="4B38DD6F" w14:textId="32351448" w:rsidTr="00921549">
        <w:trPr>
          <w:trHeight w:val="70"/>
        </w:trPr>
        <w:tc>
          <w:tcPr>
            <w:tcW w:w="0" w:type="auto"/>
            <w:vAlign w:val="center"/>
          </w:tcPr>
          <w:p w14:paraId="3DC6E98B" w14:textId="77777777" w:rsidR="00D54FF9" w:rsidRPr="005739C1" w:rsidRDefault="00D54FF9" w:rsidP="00921549">
            <w:pPr>
              <w:pStyle w:val="Table"/>
              <w:rPr>
                <w:b/>
              </w:rPr>
            </w:pPr>
            <w:r w:rsidRPr="005739C1">
              <w:rPr>
                <w:b/>
              </w:rPr>
              <w:t>Wave</w:t>
            </w:r>
          </w:p>
        </w:tc>
        <w:tc>
          <w:tcPr>
            <w:tcW w:w="0" w:type="auto"/>
            <w:vAlign w:val="center"/>
          </w:tcPr>
          <w:p w14:paraId="6B019BA4" w14:textId="739FAF9E" w:rsidR="00D54FF9" w:rsidRPr="005739C1" w:rsidRDefault="00D54FF9" w:rsidP="00921549">
            <w:pPr>
              <w:pStyle w:val="Table"/>
              <w:rPr>
                <w:b/>
              </w:rPr>
            </w:pPr>
            <w:r w:rsidRPr="005739C1">
              <w:rPr>
                <w:b/>
              </w:rPr>
              <w:t>Month</w:t>
            </w:r>
          </w:p>
        </w:tc>
        <w:tc>
          <w:tcPr>
            <w:tcW w:w="0" w:type="auto"/>
            <w:vAlign w:val="center"/>
          </w:tcPr>
          <w:p w14:paraId="12FA5E47" w14:textId="35D9438F" w:rsidR="00D54FF9" w:rsidRPr="005739C1" w:rsidRDefault="00D54FF9" w:rsidP="00921549">
            <w:pPr>
              <w:pStyle w:val="Table"/>
              <w:rPr>
                <w:b/>
              </w:rPr>
            </w:pPr>
            <w:proofErr w:type="spellStart"/>
            <w:r w:rsidRPr="005739C1">
              <w:rPr>
                <w:b/>
              </w:rPr>
              <w:t>n_start</w:t>
            </w:r>
            <w:proofErr w:type="spellEnd"/>
          </w:p>
        </w:tc>
        <w:tc>
          <w:tcPr>
            <w:tcW w:w="0" w:type="auto"/>
            <w:vAlign w:val="center"/>
          </w:tcPr>
          <w:p w14:paraId="29FF8909" w14:textId="77777777" w:rsidR="00D54FF9" w:rsidRPr="005739C1" w:rsidRDefault="00D54FF9" w:rsidP="00921549">
            <w:pPr>
              <w:pStyle w:val="Table"/>
              <w:rPr>
                <w:b/>
              </w:rPr>
            </w:pPr>
            <w:proofErr w:type="spellStart"/>
            <w:r w:rsidRPr="005739C1">
              <w:rPr>
                <w:b/>
              </w:rPr>
              <w:t>n_happy</w:t>
            </w:r>
            <w:proofErr w:type="spellEnd"/>
          </w:p>
        </w:tc>
        <w:tc>
          <w:tcPr>
            <w:tcW w:w="0" w:type="auto"/>
            <w:vAlign w:val="center"/>
          </w:tcPr>
          <w:p w14:paraId="3957E453" w14:textId="09D8C382" w:rsidR="00D54FF9" w:rsidRPr="005739C1" w:rsidRDefault="00D54FF9" w:rsidP="00921549">
            <w:pPr>
              <w:pStyle w:val="Table"/>
              <w:rPr>
                <w:b/>
              </w:rPr>
            </w:pPr>
            <w:r w:rsidRPr="005739C1">
              <w:rPr>
                <w:b/>
              </w:rPr>
              <w:t>Date</w:t>
            </w:r>
          </w:p>
        </w:tc>
      </w:tr>
      <w:tr w:rsidR="00D54FF9" w14:paraId="6F7EA231" w14:textId="7BDF19A4" w:rsidTr="00921549">
        <w:trPr>
          <w:trHeight w:val="70"/>
        </w:trPr>
        <w:tc>
          <w:tcPr>
            <w:tcW w:w="0" w:type="auto"/>
            <w:vAlign w:val="center"/>
          </w:tcPr>
          <w:p w14:paraId="5F93C9E2" w14:textId="77777777" w:rsidR="00D54FF9" w:rsidRPr="005739C1" w:rsidRDefault="00D54FF9" w:rsidP="00921549">
            <w:pPr>
              <w:pStyle w:val="Table"/>
              <w:rPr>
                <w:b/>
              </w:rPr>
            </w:pPr>
            <w:r w:rsidRPr="005739C1">
              <w:rPr>
                <w:b/>
              </w:rPr>
              <w:t>Baseline</w:t>
            </w:r>
          </w:p>
        </w:tc>
        <w:tc>
          <w:tcPr>
            <w:tcW w:w="0" w:type="auto"/>
            <w:vAlign w:val="center"/>
          </w:tcPr>
          <w:p w14:paraId="5F7DFC11" w14:textId="50212686" w:rsidR="00D54FF9" w:rsidRDefault="00D54FF9" w:rsidP="00921549">
            <w:pPr>
              <w:pStyle w:val="Table"/>
            </w:pPr>
            <w:r>
              <w:t>0</w:t>
            </w:r>
          </w:p>
        </w:tc>
        <w:tc>
          <w:tcPr>
            <w:tcW w:w="0" w:type="auto"/>
            <w:vAlign w:val="center"/>
          </w:tcPr>
          <w:p w14:paraId="43B4C5C8" w14:textId="37BCC27D" w:rsidR="00D54FF9" w:rsidRPr="003B782A" w:rsidRDefault="00D54FF9" w:rsidP="00921549">
            <w:pPr>
              <w:pStyle w:val="Table"/>
              <w:rPr>
                <w:rFonts w:eastAsia="Times New Roman"/>
              </w:rPr>
            </w:pPr>
            <w:r>
              <w:t>62271</w:t>
            </w:r>
          </w:p>
        </w:tc>
        <w:tc>
          <w:tcPr>
            <w:tcW w:w="0" w:type="auto"/>
            <w:vAlign w:val="center"/>
          </w:tcPr>
          <w:p w14:paraId="09146BF7" w14:textId="77777777" w:rsidR="00D54FF9" w:rsidRPr="003B782A" w:rsidRDefault="00D54FF9" w:rsidP="00921549">
            <w:pPr>
              <w:pStyle w:val="Table"/>
              <w:rPr>
                <w:rFonts w:eastAsia="Times New Roman"/>
              </w:rPr>
            </w:pPr>
            <w:r>
              <w:t>63545</w:t>
            </w:r>
          </w:p>
        </w:tc>
        <w:tc>
          <w:tcPr>
            <w:tcW w:w="0" w:type="auto"/>
            <w:vAlign w:val="center"/>
          </w:tcPr>
          <w:p w14:paraId="38E7B272" w14:textId="1F3CBBD5" w:rsidR="00D54FF9" w:rsidRDefault="00D54FF9" w:rsidP="00921549">
            <w:pPr>
              <w:pStyle w:val="Table"/>
            </w:pPr>
            <w:r w:rsidRPr="00B85446">
              <w:t>2020-</w:t>
            </w:r>
            <w:r w:rsidRPr="00B65523">
              <w:rPr>
                <w:b/>
                <w:bCs/>
              </w:rPr>
              <w:t>03-19</w:t>
            </w:r>
            <w:r>
              <w:t xml:space="preserve"> till </w:t>
            </w:r>
            <w:r w:rsidRPr="00B85446">
              <w:t>2021-04-12</w:t>
            </w:r>
          </w:p>
        </w:tc>
      </w:tr>
      <w:tr w:rsidR="00D54FF9" w14:paraId="6F4FB1C9" w14:textId="2BB5A1A6" w:rsidTr="00921549">
        <w:trPr>
          <w:trHeight w:val="70"/>
        </w:trPr>
        <w:tc>
          <w:tcPr>
            <w:tcW w:w="0" w:type="auto"/>
            <w:vAlign w:val="center"/>
          </w:tcPr>
          <w:p w14:paraId="68212C3B" w14:textId="179A485D" w:rsidR="00D54FF9" w:rsidRPr="005739C1" w:rsidRDefault="00D54FF9" w:rsidP="00921549">
            <w:pPr>
              <w:pStyle w:val="Table"/>
              <w:rPr>
                <w:b/>
              </w:rPr>
            </w:pPr>
            <w:r w:rsidRPr="005739C1">
              <w:rPr>
                <w:b/>
              </w:rPr>
              <w:t>w1</w:t>
            </w:r>
          </w:p>
        </w:tc>
        <w:tc>
          <w:tcPr>
            <w:tcW w:w="0" w:type="auto"/>
            <w:vAlign w:val="center"/>
          </w:tcPr>
          <w:p w14:paraId="3B66E21D" w14:textId="77777777" w:rsidR="00D54FF9" w:rsidRDefault="00D54FF9" w:rsidP="00921549">
            <w:pPr>
              <w:pStyle w:val="Table"/>
            </w:pPr>
          </w:p>
        </w:tc>
        <w:tc>
          <w:tcPr>
            <w:tcW w:w="0" w:type="auto"/>
            <w:vAlign w:val="center"/>
          </w:tcPr>
          <w:p w14:paraId="5BAACC24" w14:textId="7F3BFD07" w:rsidR="00D54FF9" w:rsidRPr="003B782A" w:rsidRDefault="00D54FF9" w:rsidP="00921549">
            <w:pPr>
              <w:pStyle w:val="Table"/>
              <w:rPr>
                <w:rFonts w:eastAsia="Times New Roman"/>
              </w:rPr>
            </w:pPr>
            <w:r>
              <w:t>1511</w:t>
            </w:r>
          </w:p>
        </w:tc>
        <w:tc>
          <w:tcPr>
            <w:tcW w:w="0" w:type="auto"/>
            <w:vAlign w:val="center"/>
          </w:tcPr>
          <w:p w14:paraId="426672D2" w14:textId="77777777" w:rsidR="00D54FF9" w:rsidRPr="003B782A" w:rsidRDefault="00D54FF9" w:rsidP="00921549">
            <w:pPr>
              <w:pStyle w:val="Table"/>
              <w:rPr>
                <w:rFonts w:eastAsia="Times New Roman"/>
              </w:rPr>
            </w:pPr>
            <w:r>
              <w:t>0</w:t>
            </w:r>
          </w:p>
        </w:tc>
        <w:tc>
          <w:tcPr>
            <w:tcW w:w="0" w:type="auto"/>
            <w:vAlign w:val="center"/>
          </w:tcPr>
          <w:p w14:paraId="720715CC" w14:textId="5333511F" w:rsidR="00D54FF9" w:rsidRDefault="00D54FF9" w:rsidP="00921549">
            <w:pPr>
              <w:pStyle w:val="Table"/>
            </w:pPr>
            <w:r w:rsidRPr="00B85446">
              <w:t>2020-</w:t>
            </w:r>
            <w:r w:rsidRPr="00B65523">
              <w:rPr>
                <w:b/>
                <w:bCs/>
              </w:rPr>
              <w:t>03-27</w:t>
            </w:r>
            <w:r>
              <w:t xml:space="preserve"> till </w:t>
            </w:r>
            <w:r w:rsidRPr="00B85446">
              <w:t>2020-04-05</w:t>
            </w:r>
          </w:p>
        </w:tc>
      </w:tr>
      <w:tr w:rsidR="00D54FF9" w14:paraId="2F0A13B8" w14:textId="14DC31AB" w:rsidTr="00921549">
        <w:trPr>
          <w:trHeight w:val="70"/>
        </w:trPr>
        <w:tc>
          <w:tcPr>
            <w:tcW w:w="0" w:type="auto"/>
            <w:vAlign w:val="center"/>
          </w:tcPr>
          <w:p w14:paraId="5F646181" w14:textId="14D6D0E2" w:rsidR="00D54FF9" w:rsidRPr="005739C1" w:rsidRDefault="00D54FF9" w:rsidP="00921549">
            <w:pPr>
              <w:pStyle w:val="Table"/>
              <w:rPr>
                <w:b/>
              </w:rPr>
            </w:pPr>
            <w:r w:rsidRPr="005739C1">
              <w:rPr>
                <w:b/>
              </w:rPr>
              <w:t>w2</w:t>
            </w:r>
          </w:p>
        </w:tc>
        <w:tc>
          <w:tcPr>
            <w:tcW w:w="0" w:type="auto"/>
            <w:vAlign w:val="center"/>
          </w:tcPr>
          <w:p w14:paraId="358D035B" w14:textId="77777777" w:rsidR="00D54FF9" w:rsidRDefault="00D54FF9" w:rsidP="00921549">
            <w:pPr>
              <w:pStyle w:val="Table"/>
            </w:pPr>
          </w:p>
        </w:tc>
        <w:tc>
          <w:tcPr>
            <w:tcW w:w="0" w:type="auto"/>
            <w:vAlign w:val="center"/>
          </w:tcPr>
          <w:p w14:paraId="28FD8AE0" w14:textId="74FD5404" w:rsidR="00D54FF9" w:rsidRPr="003B782A" w:rsidRDefault="00D54FF9" w:rsidP="00921549">
            <w:pPr>
              <w:pStyle w:val="Table"/>
              <w:rPr>
                <w:rFonts w:eastAsia="Times New Roman"/>
              </w:rPr>
            </w:pPr>
            <w:r>
              <w:t>6269</w:t>
            </w:r>
          </w:p>
        </w:tc>
        <w:tc>
          <w:tcPr>
            <w:tcW w:w="0" w:type="auto"/>
            <w:vAlign w:val="center"/>
          </w:tcPr>
          <w:p w14:paraId="21C57444" w14:textId="77777777" w:rsidR="00D54FF9" w:rsidRPr="003B782A" w:rsidRDefault="00D54FF9" w:rsidP="00921549">
            <w:pPr>
              <w:pStyle w:val="Table"/>
              <w:rPr>
                <w:rFonts w:eastAsia="Times New Roman"/>
              </w:rPr>
            </w:pPr>
            <w:r>
              <w:t>0</w:t>
            </w:r>
          </w:p>
        </w:tc>
        <w:tc>
          <w:tcPr>
            <w:tcW w:w="0" w:type="auto"/>
            <w:vAlign w:val="center"/>
          </w:tcPr>
          <w:p w14:paraId="5E6A18A7" w14:textId="64995AA2" w:rsidR="00D54FF9" w:rsidRDefault="00D54FF9" w:rsidP="00921549">
            <w:pPr>
              <w:pStyle w:val="Table"/>
            </w:pPr>
            <w:r w:rsidRPr="00B85446">
              <w:t>2020-</w:t>
            </w:r>
            <w:r w:rsidRPr="00B65523">
              <w:rPr>
                <w:b/>
                <w:bCs/>
              </w:rPr>
              <w:t>04-11</w:t>
            </w:r>
            <w:r>
              <w:t xml:space="preserve"> till </w:t>
            </w:r>
            <w:r w:rsidRPr="00B85446">
              <w:t>2020-05-23</w:t>
            </w:r>
          </w:p>
        </w:tc>
      </w:tr>
      <w:tr w:rsidR="00D54FF9" w14:paraId="7A510D13" w14:textId="2740ACF7" w:rsidTr="00921549">
        <w:trPr>
          <w:trHeight w:val="70"/>
        </w:trPr>
        <w:tc>
          <w:tcPr>
            <w:tcW w:w="0" w:type="auto"/>
            <w:vAlign w:val="center"/>
          </w:tcPr>
          <w:p w14:paraId="30A34A78" w14:textId="10183151" w:rsidR="00D54FF9" w:rsidRPr="005739C1" w:rsidRDefault="00D54FF9" w:rsidP="00921549">
            <w:pPr>
              <w:pStyle w:val="Table"/>
              <w:rPr>
                <w:b/>
              </w:rPr>
            </w:pPr>
            <w:r w:rsidRPr="005739C1">
              <w:rPr>
                <w:b/>
              </w:rPr>
              <w:t>w3</w:t>
            </w:r>
          </w:p>
        </w:tc>
        <w:tc>
          <w:tcPr>
            <w:tcW w:w="0" w:type="auto"/>
            <w:vAlign w:val="center"/>
          </w:tcPr>
          <w:p w14:paraId="4652AE28" w14:textId="77777777" w:rsidR="00D54FF9" w:rsidRDefault="00D54FF9" w:rsidP="00921549">
            <w:pPr>
              <w:pStyle w:val="Table"/>
            </w:pPr>
          </w:p>
        </w:tc>
        <w:tc>
          <w:tcPr>
            <w:tcW w:w="0" w:type="auto"/>
            <w:vAlign w:val="center"/>
          </w:tcPr>
          <w:p w14:paraId="036CA228" w14:textId="7DC69518" w:rsidR="00D54FF9" w:rsidRPr="003B782A" w:rsidRDefault="00D54FF9" w:rsidP="00921549">
            <w:pPr>
              <w:pStyle w:val="Table"/>
              <w:rPr>
                <w:rFonts w:eastAsia="Times New Roman"/>
              </w:rPr>
            </w:pPr>
            <w:r>
              <w:t>5561</w:t>
            </w:r>
          </w:p>
        </w:tc>
        <w:tc>
          <w:tcPr>
            <w:tcW w:w="0" w:type="auto"/>
            <w:vAlign w:val="center"/>
          </w:tcPr>
          <w:p w14:paraId="799593B9" w14:textId="77777777" w:rsidR="00D54FF9" w:rsidRPr="003B782A" w:rsidRDefault="00D54FF9" w:rsidP="00921549">
            <w:pPr>
              <w:pStyle w:val="Table"/>
              <w:rPr>
                <w:rFonts w:eastAsia="Times New Roman"/>
              </w:rPr>
            </w:pPr>
            <w:r>
              <w:t>0</w:t>
            </w:r>
          </w:p>
        </w:tc>
        <w:tc>
          <w:tcPr>
            <w:tcW w:w="0" w:type="auto"/>
            <w:vAlign w:val="center"/>
          </w:tcPr>
          <w:p w14:paraId="77384197" w14:textId="164DC704" w:rsidR="00D54FF9" w:rsidRDefault="00D54FF9" w:rsidP="00921549">
            <w:pPr>
              <w:pStyle w:val="Table"/>
            </w:pPr>
            <w:r w:rsidRPr="00B85446">
              <w:t>2020-</w:t>
            </w:r>
            <w:r w:rsidRPr="00B65523">
              <w:rPr>
                <w:b/>
                <w:bCs/>
              </w:rPr>
              <w:t>04-18</w:t>
            </w:r>
            <w:r>
              <w:t xml:space="preserve"> till </w:t>
            </w:r>
            <w:r w:rsidRPr="00B85446">
              <w:t>2020-06-16</w:t>
            </w:r>
          </w:p>
        </w:tc>
      </w:tr>
      <w:tr w:rsidR="00D54FF9" w14:paraId="7DB3B04F" w14:textId="44393118" w:rsidTr="00921549">
        <w:trPr>
          <w:trHeight w:val="70"/>
        </w:trPr>
        <w:tc>
          <w:tcPr>
            <w:tcW w:w="0" w:type="auto"/>
            <w:vAlign w:val="center"/>
          </w:tcPr>
          <w:p w14:paraId="126F8F43" w14:textId="1F9E3CC3" w:rsidR="00D54FF9" w:rsidRPr="005739C1" w:rsidRDefault="00D54FF9" w:rsidP="00921549">
            <w:pPr>
              <w:pStyle w:val="Table"/>
              <w:rPr>
                <w:b/>
              </w:rPr>
            </w:pPr>
            <w:r w:rsidRPr="005739C1">
              <w:rPr>
                <w:b/>
              </w:rPr>
              <w:t>w4</w:t>
            </w:r>
          </w:p>
        </w:tc>
        <w:tc>
          <w:tcPr>
            <w:tcW w:w="0" w:type="auto"/>
            <w:vAlign w:val="center"/>
          </w:tcPr>
          <w:p w14:paraId="51F69214" w14:textId="22CFD2B3" w:rsidR="00D54FF9" w:rsidRDefault="00D54FF9" w:rsidP="00921549">
            <w:pPr>
              <w:pStyle w:val="Table"/>
            </w:pPr>
            <w:r>
              <w:t>1</w:t>
            </w:r>
          </w:p>
        </w:tc>
        <w:tc>
          <w:tcPr>
            <w:tcW w:w="0" w:type="auto"/>
            <w:vAlign w:val="center"/>
          </w:tcPr>
          <w:p w14:paraId="5CD7AC78" w14:textId="6CF018DC" w:rsidR="00D54FF9" w:rsidRPr="003B782A" w:rsidRDefault="00D54FF9" w:rsidP="00921549">
            <w:pPr>
              <w:pStyle w:val="Table"/>
              <w:rPr>
                <w:rFonts w:eastAsia="Times New Roman"/>
              </w:rPr>
            </w:pPr>
            <w:r>
              <w:t>8031</w:t>
            </w:r>
          </w:p>
        </w:tc>
        <w:tc>
          <w:tcPr>
            <w:tcW w:w="0" w:type="auto"/>
            <w:vAlign w:val="center"/>
          </w:tcPr>
          <w:p w14:paraId="59005B19" w14:textId="77777777" w:rsidR="00D54FF9" w:rsidRPr="003B782A" w:rsidRDefault="00D54FF9" w:rsidP="00921549">
            <w:pPr>
              <w:pStyle w:val="Table"/>
              <w:rPr>
                <w:rFonts w:eastAsia="Times New Roman"/>
              </w:rPr>
            </w:pPr>
            <w:r>
              <w:t>8030</w:t>
            </w:r>
          </w:p>
        </w:tc>
        <w:tc>
          <w:tcPr>
            <w:tcW w:w="0" w:type="auto"/>
            <w:vAlign w:val="center"/>
          </w:tcPr>
          <w:p w14:paraId="611D4DA5" w14:textId="75DFE1A7" w:rsidR="00D54FF9" w:rsidRDefault="00D54FF9" w:rsidP="00921549">
            <w:pPr>
              <w:pStyle w:val="Table"/>
            </w:pPr>
            <w:r w:rsidRPr="00B85446">
              <w:t>2020-</w:t>
            </w:r>
            <w:r w:rsidRPr="00B65523">
              <w:rPr>
                <w:b/>
                <w:bCs/>
              </w:rPr>
              <w:t>04-25</w:t>
            </w:r>
            <w:r>
              <w:t xml:space="preserve"> till </w:t>
            </w:r>
            <w:r w:rsidRPr="00B85446">
              <w:t>2020-05-20</w:t>
            </w:r>
          </w:p>
        </w:tc>
      </w:tr>
      <w:tr w:rsidR="00D54FF9" w14:paraId="5EFE4759" w14:textId="3C388A4F" w:rsidTr="00921549">
        <w:trPr>
          <w:trHeight w:val="70"/>
        </w:trPr>
        <w:tc>
          <w:tcPr>
            <w:tcW w:w="0" w:type="auto"/>
            <w:vAlign w:val="center"/>
          </w:tcPr>
          <w:p w14:paraId="717FCBEB" w14:textId="53CDC20D" w:rsidR="00D54FF9" w:rsidRPr="005739C1" w:rsidRDefault="00D54FF9" w:rsidP="00921549">
            <w:pPr>
              <w:pStyle w:val="Table"/>
              <w:rPr>
                <w:b/>
              </w:rPr>
            </w:pPr>
            <w:r w:rsidRPr="005739C1">
              <w:rPr>
                <w:b/>
              </w:rPr>
              <w:t>w5</w:t>
            </w:r>
          </w:p>
        </w:tc>
        <w:tc>
          <w:tcPr>
            <w:tcW w:w="0" w:type="auto"/>
            <w:vAlign w:val="center"/>
          </w:tcPr>
          <w:p w14:paraId="1C265796" w14:textId="19D2E5B6" w:rsidR="00D54FF9" w:rsidRDefault="00D54FF9" w:rsidP="00921549">
            <w:pPr>
              <w:pStyle w:val="Table"/>
            </w:pPr>
            <w:r>
              <w:t>1</w:t>
            </w:r>
          </w:p>
        </w:tc>
        <w:tc>
          <w:tcPr>
            <w:tcW w:w="0" w:type="auto"/>
            <w:vAlign w:val="center"/>
          </w:tcPr>
          <w:p w14:paraId="4EBEF513" w14:textId="7B4EE14E" w:rsidR="00D54FF9" w:rsidRPr="003B782A" w:rsidRDefault="00D54FF9" w:rsidP="00921549">
            <w:pPr>
              <w:pStyle w:val="Table"/>
              <w:rPr>
                <w:rFonts w:eastAsia="Times New Roman"/>
              </w:rPr>
            </w:pPr>
            <w:r>
              <w:t>7370</w:t>
            </w:r>
          </w:p>
        </w:tc>
        <w:tc>
          <w:tcPr>
            <w:tcW w:w="0" w:type="auto"/>
            <w:vAlign w:val="center"/>
          </w:tcPr>
          <w:p w14:paraId="0ECCB9BD" w14:textId="77777777" w:rsidR="00D54FF9" w:rsidRPr="003B782A" w:rsidRDefault="00D54FF9" w:rsidP="00921549">
            <w:pPr>
              <w:pStyle w:val="Table"/>
              <w:rPr>
                <w:rFonts w:eastAsia="Times New Roman"/>
              </w:rPr>
            </w:pPr>
            <w:r>
              <w:t>7364</w:t>
            </w:r>
          </w:p>
        </w:tc>
        <w:tc>
          <w:tcPr>
            <w:tcW w:w="0" w:type="auto"/>
            <w:vAlign w:val="center"/>
          </w:tcPr>
          <w:p w14:paraId="601ECA98" w14:textId="710123F8" w:rsidR="00D54FF9" w:rsidRDefault="00D54FF9" w:rsidP="00921549">
            <w:pPr>
              <w:pStyle w:val="Table"/>
            </w:pPr>
            <w:r w:rsidRPr="00B85446">
              <w:t>2020-</w:t>
            </w:r>
            <w:r w:rsidRPr="00B65523">
              <w:rPr>
                <w:b/>
                <w:bCs/>
              </w:rPr>
              <w:t>05-02</w:t>
            </w:r>
            <w:r>
              <w:t xml:space="preserve"> till </w:t>
            </w:r>
            <w:r w:rsidRPr="00B85446">
              <w:t>2020-06-09</w:t>
            </w:r>
          </w:p>
        </w:tc>
      </w:tr>
      <w:tr w:rsidR="00D54FF9" w14:paraId="6DF6CC6A" w14:textId="184F1784" w:rsidTr="00921549">
        <w:trPr>
          <w:trHeight w:val="70"/>
        </w:trPr>
        <w:tc>
          <w:tcPr>
            <w:tcW w:w="0" w:type="auto"/>
            <w:vAlign w:val="center"/>
          </w:tcPr>
          <w:p w14:paraId="5C040A4E" w14:textId="062F1C9E" w:rsidR="00D54FF9" w:rsidRPr="005739C1" w:rsidRDefault="00D54FF9" w:rsidP="00921549">
            <w:pPr>
              <w:pStyle w:val="Table"/>
              <w:rPr>
                <w:b/>
              </w:rPr>
            </w:pPr>
            <w:r w:rsidRPr="005739C1">
              <w:rPr>
                <w:b/>
              </w:rPr>
              <w:t>w6</w:t>
            </w:r>
          </w:p>
        </w:tc>
        <w:tc>
          <w:tcPr>
            <w:tcW w:w="0" w:type="auto"/>
            <w:vAlign w:val="center"/>
          </w:tcPr>
          <w:p w14:paraId="0443FE02" w14:textId="77777777" w:rsidR="00D54FF9" w:rsidRDefault="00D54FF9" w:rsidP="00921549">
            <w:pPr>
              <w:pStyle w:val="Table"/>
            </w:pPr>
          </w:p>
        </w:tc>
        <w:tc>
          <w:tcPr>
            <w:tcW w:w="0" w:type="auto"/>
            <w:vAlign w:val="center"/>
          </w:tcPr>
          <w:p w14:paraId="220C3E89" w14:textId="05FADEDA" w:rsidR="00D54FF9" w:rsidRPr="003B782A" w:rsidRDefault="00D54FF9" w:rsidP="00921549">
            <w:pPr>
              <w:pStyle w:val="Table"/>
              <w:rPr>
                <w:rFonts w:eastAsia="Times New Roman"/>
              </w:rPr>
            </w:pPr>
            <w:r>
              <w:t>6564</w:t>
            </w:r>
          </w:p>
        </w:tc>
        <w:tc>
          <w:tcPr>
            <w:tcW w:w="0" w:type="auto"/>
            <w:vAlign w:val="center"/>
          </w:tcPr>
          <w:p w14:paraId="4AC7CC56" w14:textId="77777777" w:rsidR="00D54FF9" w:rsidRPr="003B782A" w:rsidRDefault="00D54FF9" w:rsidP="00921549">
            <w:pPr>
              <w:pStyle w:val="Table"/>
              <w:rPr>
                <w:rFonts w:eastAsia="Times New Roman"/>
              </w:rPr>
            </w:pPr>
            <w:r>
              <w:t>0</w:t>
            </w:r>
          </w:p>
        </w:tc>
        <w:tc>
          <w:tcPr>
            <w:tcW w:w="0" w:type="auto"/>
            <w:vAlign w:val="center"/>
          </w:tcPr>
          <w:p w14:paraId="2D45E4D1" w14:textId="41CA3B78" w:rsidR="00D54FF9" w:rsidRDefault="00D54FF9" w:rsidP="00921549">
            <w:pPr>
              <w:pStyle w:val="Table"/>
            </w:pPr>
            <w:r w:rsidRPr="00B65523">
              <w:t>2020-</w:t>
            </w:r>
            <w:r w:rsidRPr="00B65523">
              <w:rPr>
                <w:b/>
                <w:bCs/>
              </w:rPr>
              <w:t>05-09</w:t>
            </w:r>
            <w:r>
              <w:t xml:space="preserve"> till </w:t>
            </w:r>
            <w:r w:rsidRPr="00B65523">
              <w:t>2020-06-10</w:t>
            </w:r>
          </w:p>
        </w:tc>
      </w:tr>
      <w:tr w:rsidR="00D54FF9" w14:paraId="6B6B385F" w14:textId="6D67F2CD" w:rsidTr="00921549">
        <w:trPr>
          <w:trHeight w:val="70"/>
        </w:trPr>
        <w:tc>
          <w:tcPr>
            <w:tcW w:w="0" w:type="auto"/>
            <w:vAlign w:val="center"/>
          </w:tcPr>
          <w:p w14:paraId="300D0228" w14:textId="58698A53" w:rsidR="00D54FF9" w:rsidRPr="005739C1" w:rsidRDefault="00D54FF9" w:rsidP="00921549">
            <w:pPr>
              <w:pStyle w:val="Table"/>
              <w:rPr>
                <w:b/>
              </w:rPr>
            </w:pPr>
            <w:r w:rsidRPr="005739C1">
              <w:rPr>
                <w:b/>
              </w:rPr>
              <w:t>w7</w:t>
            </w:r>
          </w:p>
        </w:tc>
        <w:tc>
          <w:tcPr>
            <w:tcW w:w="0" w:type="auto"/>
            <w:vAlign w:val="center"/>
          </w:tcPr>
          <w:p w14:paraId="688863A6" w14:textId="77777777" w:rsidR="00D54FF9" w:rsidRDefault="00D54FF9" w:rsidP="00921549">
            <w:pPr>
              <w:pStyle w:val="Table"/>
            </w:pPr>
          </w:p>
        </w:tc>
        <w:tc>
          <w:tcPr>
            <w:tcW w:w="0" w:type="auto"/>
            <w:vAlign w:val="center"/>
          </w:tcPr>
          <w:p w14:paraId="7E1897E9" w14:textId="3F7437AB" w:rsidR="00D54FF9" w:rsidRPr="003B782A" w:rsidRDefault="00D54FF9" w:rsidP="00921549">
            <w:pPr>
              <w:pStyle w:val="Table"/>
              <w:rPr>
                <w:rFonts w:eastAsia="Times New Roman"/>
              </w:rPr>
            </w:pPr>
            <w:r>
              <w:t>5321</w:t>
            </w:r>
          </w:p>
        </w:tc>
        <w:tc>
          <w:tcPr>
            <w:tcW w:w="0" w:type="auto"/>
            <w:vAlign w:val="center"/>
          </w:tcPr>
          <w:p w14:paraId="1088CE9E" w14:textId="77777777" w:rsidR="00D54FF9" w:rsidRPr="003B782A" w:rsidRDefault="00D54FF9" w:rsidP="00921549">
            <w:pPr>
              <w:pStyle w:val="Table"/>
              <w:rPr>
                <w:rFonts w:eastAsia="Times New Roman"/>
              </w:rPr>
            </w:pPr>
            <w:r>
              <w:t>0</w:t>
            </w:r>
          </w:p>
        </w:tc>
        <w:tc>
          <w:tcPr>
            <w:tcW w:w="0" w:type="auto"/>
            <w:vAlign w:val="center"/>
          </w:tcPr>
          <w:p w14:paraId="47DA8A40" w14:textId="05170EA1" w:rsidR="00D54FF9" w:rsidRDefault="00D54FF9" w:rsidP="00921549">
            <w:pPr>
              <w:pStyle w:val="Table"/>
            </w:pPr>
            <w:r w:rsidRPr="00B65523">
              <w:t>2020-</w:t>
            </w:r>
            <w:r w:rsidRPr="00B65523">
              <w:rPr>
                <w:b/>
                <w:bCs/>
              </w:rPr>
              <w:t>05-16</w:t>
            </w:r>
            <w:r>
              <w:t xml:space="preserve"> till </w:t>
            </w:r>
            <w:r w:rsidRPr="00B65523">
              <w:t>2020-07-04</w:t>
            </w:r>
          </w:p>
        </w:tc>
      </w:tr>
      <w:tr w:rsidR="00D54FF9" w14:paraId="230DE2BC" w14:textId="25F682C2" w:rsidTr="00921549">
        <w:trPr>
          <w:trHeight w:val="70"/>
        </w:trPr>
        <w:tc>
          <w:tcPr>
            <w:tcW w:w="0" w:type="auto"/>
            <w:vAlign w:val="center"/>
          </w:tcPr>
          <w:p w14:paraId="0B5E7E77" w14:textId="63EC8371" w:rsidR="00D54FF9" w:rsidRPr="005739C1" w:rsidRDefault="00D54FF9" w:rsidP="00921549">
            <w:pPr>
              <w:pStyle w:val="Table"/>
              <w:rPr>
                <w:b/>
              </w:rPr>
            </w:pPr>
            <w:r w:rsidRPr="005739C1">
              <w:rPr>
                <w:b/>
              </w:rPr>
              <w:t>w8</w:t>
            </w:r>
          </w:p>
        </w:tc>
        <w:tc>
          <w:tcPr>
            <w:tcW w:w="0" w:type="auto"/>
            <w:vAlign w:val="center"/>
          </w:tcPr>
          <w:p w14:paraId="37527348" w14:textId="4AC331F0" w:rsidR="00D54FF9" w:rsidRDefault="00D54FF9" w:rsidP="00921549">
            <w:pPr>
              <w:pStyle w:val="Table"/>
            </w:pPr>
            <w:r>
              <w:t>2</w:t>
            </w:r>
          </w:p>
        </w:tc>
        <w:tc>
          <w:tcPr>
            <w:tcW w:w="0" w:type="auto"/>
            <w:vAlign w:val="center"/>
          </w:tcPr>
          <w:p w14:paraId="432648B6" w14:textId="5363D0EA" w:rsidR="00D54FF9" w:rsidRPr="003B782A" w:rsidRDefault="00D54FF9" w:rsidP="00921549">
            <w:pPr>
              <w:pStyle w:val="Table"/>
              <w:rPr>
                <w:rFonts w:eastAsia="Times New Roman"/>
              </w:rPr>
            </w:pPr>
            <w:r>
              <w:t>5361</w:t>
            </w:r>
          </w:p>
        </w:tc>
        <w:tc>
          <w:tcPr>
            <w:tcW w:w="0" w:type="auto"/>
            <w:vAlign w:val="center"/>
          </w:tcPr>
          <w:p w14:paraId="2EC051C6" w14:textId="77777777" w:rsidR="00D54FF9" w:rsidRPr="003B782A" w:rsidRDefault="00D54FF9" w:rsidP="00921549">
            <w:pPr>
              <w:pStyle w:val="Table"/>
              <w:rPr>
                <w:rFonts w:eastAsia="Times New Roman"/>
              </w:rPr>
            </w:pPr>
            <w:r>
              <w:t>5356</w:t>
            </w:r>
          </w:p>
        </w:tc>
        <w:tc>
          <w:tcPr>
            <w:tcW w:w="0" w:type="auto"/>
            <w:vAlign w:val="center"/>
          </w:tcPr>
          <w:p w14:paraId="7D030738" w14:textId="51515883" w:rsidR="00D54FF9" w:rsidRDefault="00D54FF9" w:rsidP="00921549">
            <w:pPr>
              <w:pStyle w:val="Table"/>
            </w:pPr>
            <w:r w:rsidRPr="00B85446">
              <w:t>2020-</w:t>
            </w:r>
            <w:r w:rsidRPr="00B65523">
              <w:rPr>
                <w:b/>
                <w:bCs/>
              </w:rPr>
              <w:t>05-23</w:t>
            </w:r>
            <w:r>
              <w:t xml:space="preserve"> till </w:t>
            </w:r>
            <w:r w:rsidRPr="00B65523">
              <w:t>2020-06-30</w:t>
            </w:r>
          </w:p>
        </w:tc>
      </w:tr>
      <w:tr w:rsidR="00D54FF9" w14:paraId="0410BBB8" w14:textId="7838D8C4" w:rsidTr="00921549">
        <w:trPr>
          <w:trHeight w:val="70"/>
        </w:trPr>
        <w:tc>
          <w:tcPr>
            <w:tcW w:w="0" w:type="auto"/>
            <w:vAlign w:val="center"/>
          </w:tcPr>
          <w:p w14:paraId="66C01CE9" w14:textId="037B7878" w:rsidR="00D54FF9" w:rsidRPr="005739C1" w:rsidRDefault="00D54FF9" w:rsidP="00921549">
            <w:pPr>
              <w:pStyle w:val="Table"/>
              <w:rPr>
                <w:b/>
              </w:rPr>
            </w:pPr>
            <w:r w:rsidRPr="005739C1">
              <w:rPr>
                <w:b/>
              </w:rPr>
              <w:t>w9</w:t>
            </w:r>
          </w:p>
        </w:tc>
        <w:tc>
          <w:tcPr>
            <w:tcW w:w="0" w:type="auto"/>
            <w:vAlign w:val="center"/>
          </w:tcPr>
          <w:p w14:paraId="0D686F4D" w14:textId="3D5F8E38" w:rsidR="00D54FF9" w:rsidRDefault="00D54FF9" w:rsidP="00921549">
            <w:pPr>
              <w:pStyle w:val="Table"/>
            </w:pPr>
            <w:r>
              <w:t>2</w:t>
            </w:r>
          </w:p>
        </w:tc>
        <w:tc>
          <w:tcPr>
            <w:tcW w:w="0" w:type="auto"/>
            <w:vAlign w:val="center"/>
          </w:tcPr>
          <w:p w14:paraId="732215F2" w14:textId="711D5590" w:rsidR="00D54FF9" w:rsidRPr="003B782A" w:rsidRDefault="00D54FF9" w:rsidP="00921549">
            <w:pPr>
              <w:pStyle w:val="Table"/>
              <w:rPr>
                <w:rFonts w:eastAsia="Times New Roman"/>
              </w:rPr>
            </w:pPr>
            <w:r>
              <w:t>4858</w:t>
            </w:r>
          </w:p>
        </w:tc>
        <w:tc>
          <w:tcPr>
            <w:tcW w:w="0" w:type="auto"/>
            <w:vAlign w:val="center"/>
          </w:tcPr>
          <w:p w14:paraId="7DB0D60D" w14:textId="77777777" w:rsidR="00D54FF9" w:rsidRPr="003B782A" w:rsidRDefault="00D54FF9" w:rsidP="00921549">
            <w:pPr>
              <w:pStyle w:val="Table"/>
              <w:rPr>
                <w:rFonts w:eastAsia="Times New Roman"/>
              </w:rPr>
            </w:pPr>
            <w:r>
              <w:t>4857</w:t>
            </w:r>
          </w:p>
        </w:tc>
        <w:tc>
          <w:tcPr>
            <w:tcW w:w="0" w:type="auto"/>
            <w:vAlign w:val="center"/>
          </w:tcPr>
          <w:p w14:paraId="37E0C6EC" w14:textId="6D4CF372" w:rsidR="00D54FF9" w:rsidRDefault="00D54FF9" w:rsidP="00921549">
            <w:pPr>
              <w:pStyle w:val="Table"/>
            </w:pPr>
            <w:r w:rsidRPr="00B65523">
              <w:t>2020-</w:t>
            </w:r>
            <w:r w:rsidRPr="00B65523">
              <w:rPr>
                <w:b/>
                <w:bCs/>
              </w:rPr>
              <w:t>05-30</w:t>
            </w:r>
            <w:r>
              <w:t xml:space="preserve"> till </w:t>
            </w:r>
            <w:r w:rsidRPr="00B65523">
              <w:t>2020-07-04</w:t>
            </w:r>
          </w:p>
        </w:tc>
      </w:tr>
      <w:tr w:rsidR="00D54FF9" w14:paraId="33099087" w14:textId="453C1EFB" w:rsidTr="00921549">
        <w:trPr>
          <w:trHeight w:val="70"/>
        </w:trPr>
        <w:tc>
          <w:tcPr>
            <w:tcW w:w="0" w:type="auto"/>
            <w:vAlign w:val="center"/>
          </w:tcPr>
          <w:p w14:paraId="10FE333A" w14:textId="32C95515" w:rsidR="00D54FF9" w:rsidRPr="005739C1" w:rsidRDefault="00D54FF9" w:rsidP="00921549">
            <w:pPr>
              <w:pStyle w:val="Table"/>
              <w:rPr>
                <w:b/>
              </w:rPr>
            </w:pPr>
            <w:r w:rsidRPr="005739C1">
              <w:rPr>
                <w:b/>
              </w:rPr>
              <w:t>w10</w:t>
            </w:r>
          </w:p>
        </w:tc>
        <w:tc>
          <w:tcPr>
            <w:tcW w:w="0" w:type="auto"/>
            <w:vAlign w:val="center"/>
          </w:tcPr>
          <w:p w14:paraId="7C42F096" w14:textId="77777777" w:rsidR="00D54FF9" w:rsidRDefault="00D54FF9" w:rsidP="00921549">
            <w:pPr>
              <w:pStyle w:val="Table"/>
            </w:pPr>
          </w:p>
        </w:tc>
        <w:tc>
          <w:tcPr>
            <w:tcW w:w="0" w:type="auto"/>
            <w:vAlign w:val="center"/>
          </w:tcPr>
          <w:p w14:paraId="02FFE016" w14:textId="7A82855B" w:rsidR="00D54FF9" w:rsidRPr="003B782A" w:rsidRDefault="00D54FF9" w:rsidP="00921549">
            <w:pPr>
              <w:pStyle w:val="Table"/>
              <w:rPr>
                <w:rFonts w:eastAsia="Times New Roman"/>
              </w:rPr>
            </w:pPr>
            <w:r>
              <w:t>4151</w:t>
            </w:r>
          </w:p>
        </w:tc>
        <w:tc>
          <w:tcPr>
            <w:tcW w:w="0" w:type="auto"/>
            <w:vAlign w:val="center"/>
          </w:tcPr>
          <w:p w14:paraId="2D445F52" w14:textId="77777777" w:rsidR="00D54FF9" w:rsidRPr="003B782A" w:rsidRDefault="00D54FF9" w:rsidP="00921549">
            <w:pPr>
              <w:pStyle w:val="Table"/>
              <w:rPr>
                <w:rFonts w:eastAsia="Times New Roman"/>
              </w:rPr>
            </w:pPr>
            <w:r>
              <w:t>0</w:t>
            </w:r>
          </w:p>
        </w:tc>
        <w:tc>
          <w:tcPr>
            <w:tcW w:w="0" w:type="auto"/>
            <w:vAlign w:val="center"/>
          </w:tcPr>
          <w:p w14:paraId="2E7D5575" w14:textId="24E58F2B" w:rsidR="00D54FF9" w:rsidRDefault="00D54FF9" w:rsidP="00921549">
            <w:pPr>
              <w:pStyle w:val="Table"/>
            </w:pPr>
            <w:r w:rsidRPr="00B65523">
              <w:t>2020-</w:t>
            </w:r>
            <w:r w:rsidRPr="00B65523">
              <w:rPr>
                <w:b/>
                <w:bCs/>
              </w:rPr>
              <w:t>06-06</w:t>
            </w:r>
            <w:r>
              <w:t xml:space="preserve"> till </w:t>
            </w:r>
            <w:r w:rsidRPr="00B65523">
              <w:t>2020-07-02</w:t>
            </w:r>
          </w:p>
        </w:tc>
      </w:tr>
      <w:tr w:rsidR="00D54FF9" w14:paraId="3B0C1F89" w14:textId="19442DEB" w:rsidTr="00921549">
        <w:trPr>
          <w:trHeight w:val="70"/>
        </w:trPr>
        <w:tc>
          <w:tcPr>
            <w:tcW w:w="0" w:type="auto"/>
            <w:vAlign w:val="center"/>
          </w:tcPr>
          <w:p w14:paraId="10FA5D51" w14:textId="70D1D706" w:rsidR="00D54FF9" w:rsidRPr="005739C1" w:rsidRDefault="00D54FF9" w:rsidP="00921549">
            <w:pPr>
              <w:pStyle w:val="Table"/>
              <w:rPr>
                <w:b/>
              </w:rPr>
            </w:pPr>
            <w:r w:rsidRPr="005739C1">
              <w:rPr>
                <w:b/>
              </w:rPr>
              <w:t>w11</w:t>
            </w:r>
          </w:p>
        </w:tc>
        <w:tc>
          <w:tcPr>
            <w:tcW w:w="0" w:type="auto"/>
            <w:vAlign w:val="center"/>
          </w:tcPr>
          <w:p w14:paraId="464447A7" w14:textId="15DFBF81" w:rsidR="00D54FF9" w:rsidRDefault="00D54FF9" w:rsidP="00921549">
            <w:pPr>
              <w:pStyle w:val="Table"/>
            </w:pPr>
            <w:r>
              <w:t>3</w:t>
            </w:r>
          </w:p>
        </w:tc>
        <w:tc>
          <w:tcPr>
            <w:tcW w:w="0" w:type="auto"/>
            <w:vAlign w:val="center"/>
          </w:tcPr>
          <w:p w14:paraId="6FDAB0D5" w14:textId="2F14A680" w:rsidR="00D54FF9" w:rsidRPr="003B782A" w:rsidRDefault="00D54FF9" w:rsidP="00921549">
            <w:pPr>
              <w:pStyle w:val="Table"/>
              <w:rPr>
                <w:rFonts w:eastAsia="Times New Roman"/>
              </w:rPr>
            </w:pPr>
            <w:r>
              <w:t>4967</w:t>
            </w:r>
          </w:p>
        </w:tc>
        <w:tc>
          <w:tcPr>
            <w:tcW w:w="0" w:type="auto"/>
            <w:vAlign w:val="center"/>
          </w:tcPr>
          <w:p w14:paraId="33BED55D" w14:textId="77777777" w:rsidR="00D54FF9" w:rsidRPr="003B782A" w:rsidRDefault="00D54FF9" w:rsidP="00921549">
            <w:pPr>
              <w:pStyle w:val="Table"/>
              <w:rPr>
                <w:rFonts w:eastAsia="Times New Roman"/>
              </w:rPr>
            </w:pPr>
            <w:r>
              <w:t>4964</w:t>
            </w:r>
          </w:p>
        </w:tc>
        <w:tc>
          <w:tcPr>
            <w:tcW w:w="0" w:type="auto"/>
            <w:vAlign w:val="center"/>
          </w:tcPr>
          <w:p w14:paraId="67A23DA0" w14:textId="1B53153F" w:rsidR="00D54FF9" w:rsidRDefault="00D54FF9" w:rsidP="00921549">
            <w:pPr>
              <w:pStyle w:val="Table"/>
            </w:pPr>
            <w:r w:rsidRPr="00B65523">
              <w:t>2020-</w:t>
            </w:r>
            <w:r w:rsidRPr="00B65523">
              <w:rPr>
                <w:b/>
                <w:bCs/>
              </w:rPr>
              <w:t>06-13</w:t>
            </w:r>
            <w:r>
              <w:t xml:space="preserve"> till </w:t>
            </w:r>
            <w:r w:rsidRPr="00B65523">
              <w:t>2020-08-19</w:t>
            </w:r>
          </w:p>
        </w:tc>
      </w:tr>
      <w:tr w:rsidR="00D54FF9" w14:paraId="096CF8B7" w14:textId="5623183D" w:rsidTr="00921549">
        <w:trPr>
          <w:trHeight w:val="70"/>
        </w:trPr>
        <w:tc>
          <w:tcPr>
            <w:tcW w:w="0" w:type="auto"/>
            <w:vAlign w:val="center"/>
          </w:tcPr>
          <w:p w14:paraId="5B22A0F0" w14:textId="3D32FD90" w:rsidR="00D54FF9" w:rsidRPr="005739C1" w:rsidRDefault="00D54FF9" w:rsidP="00921549">
            <w:pPr>
              <w:pStyle w:val="Table"/>
              <w:rPr>
                <w:b/>
              </w:rPr>
            </w:pPr>
            <w:r w:rsidRPr="005739C1">
              <w:rPr>
                <w:b/>
              </w:rPr>
              <w:t>w12</w:t>
            </w:r>
          </w:p>
        </w:tc>
        <w:tc>
          <w:tcPr>
            <w:tcW w:w="0" w:type="auto"/>
            <w:vAlign w:val="center"/>
          </w:tcPr>
          <w:p w14:paraId="253A7F9D" w14:textId="43C28471" w:rsidR="00D54FF9" w:rsidRDefault="00D54FF9" w:rsidP="00921549">
            <w:pPr>
              <w:pStyle w:val="Table"/>
            </w:pPr>
            <w:r>
              <w:t>4</w:t>
            </w:r>
          </w:p>
        </w:tc>
        <w:tc>
          <w:tcPr>
            <w:tcW w:w="0" w:type="auto"/>
            <w:vAlign w:val="center"/>
          </w:tcPr>
          <w:p w14:paraId="5A84ECAE" w14:textId="447DB2A0" w:rsidR="00D54FF9" w:rsidRPr="003B782A" w:rsidRDefault="00D54FF9" w:rsidP="00921549">
            <w:pPr>
              <w:pStyle w:val="Table"/>
              <w:rPr>
                <w:rFonts w:eastAsia="Times New Roman"/>
              </w:rPr>
            </w:pPr>
            <w:r>
              <w:t>4361</w:t>
            </w:r>
          </w:p>
        </w:tc>
        <w:tc>
          <w:tcPr>
            <w:tcW w:w="0" w:type="auto"/>
            <w:vAlign w:val="center"/>
          </w:tcPr>
          <w:p w14:paraId="3878B2B7" w14:textId="77777777" w:rsidR="00D54FF9" w:rsidRPr="003B782A" w:rsidRDefault="00D54FF9" w:rsidP="00921549">
            <w:pPr>
              <w:pStyle w:val="Table"/>
              <w:rPr>
                <w:rFonts w:eastAsia="Times New Roman"/>
              </w:rPr>
            </w:pPr>
            <w:r>
              <w:t>4360</w:t>
            </w:r>
          </w:p>
        </w:tc>
        <w:tc>
          <w:tcPr>
            <w:tcW w:w="0" w:type="auto"/>
            <w:vAlign w:val="center"/>
          </w:tcPr>
          <w:p w14:paraId="1B65B255" w14:textId="727E279F" w:rsidR="00D54FF9" w:rsidRDefault="00D54FF9" w:rsidP="00921549">
            <w:pPr>
              <w:pStyle w:val="Table"/>
            </w:pPr>
            <w:r w:rsidRPr="00B65523">
              <w:t>2020-</w:t>
            </w:r>
            <w:r w:rsidRPr="00B65523">
              <w:rPr>
                <w:b/>
                <w:bCs/>
              </w:rPr>
              <w:t>07-12</w:t>
            </w:r>
            <w:r>
              <w:t xml:space="preserve"> till </w:t>
            </w:r>
            <w:r w:rsidRPr="00B65523">
              <w:t>2020-07-27</w:t>
            </w:r>
          </w:p>
        </w:tc>
      </w:tr>
      <w:tr w:rsidR="00D54FF9" w14:paraId="7093B8F8" w14:textId="27771603" w:rsidTr="00921549">
        <w:trPr>
          <w:trHeight w:val="70"/>
        </w:trPr>
        <w:tc>
          <w:tcPr>
            <w:tcW w:w="0" w:type="auto"/>
            <w:vAlign w:val="center"/>
          </w:tcPr>
          <w:p w14:paraId="348E3CFA" w14:textId="683644DE" w:rsidR="00D54FF9" w:rsidRPr="005739C1" w:rsidRDefault="00D54FF9" w:rsidP="00921549">
            <w:pPr>
              <w:pStyle w:val="Table"/>
              <w:rPr>
                <w:b/>
              </w:rPr>
            </w:pPr>
            <w:r w:rsidRPr="005739C1">
              <w:rPr>
                <w:b/>
              </w:rPr>
              <w:t>w13</w:t>
            </w:r>
          </w:p>
        </w:tc>
        <w:tc>
          <w:tcPr>
            <w:tcW w:w="0" w:type="auto"/>
            <w:vAlign w:val="center"/>
          </w:tcPr>
          <w:p w14:paraId="0816E868" w14:textId="185FAEF5" w:rsidR="00D54FF9" w:rsidRDefault="00D54FF9" w:rsidP="00921549">
            <w:pPr>
              <w:pStyle w:val="Table"/>
            </w:pPr>
            <w:r>
              <w:t>5</w:t>
            </w:r>
          </w:p>
        </w:tc>
        <w:tc>
          <w:tcPr>
            <w:tcW w:w="0" w:type="auto"/>
            <w:vAlign w:val="center"/>
          </w:tcPr>
          <w:p w14:paraId="4FC61B03" w14:textId="503E7B8E" w:rsidR="00D54FF9" w:rsidRPr="003B782A" w:rsidRDefault="00D54FF9" w:rsidP="00921549">
            <w:pPr>
              <w:pStyle w:val="Table"/>
              <w:rPr>
                <w:rFonts w:eastAsia="Times New Roman"/>
              </w:rPr>
            </w:pPr>
            <w:r>
              <w:t>3984</w:t>
            </w:r>
          </w:p>
        </w:tc>
        <w:tc>
          <w:tcPr>
            <w:tcW w:w="0" w:type="auto"/>
            <w:vAlign w:val="center"/>
          </w:tcPr>
          <w:p w14:paraId="7E0713E8" w14:textId="77777777" w:rsidR="00D54FF9" w:rsidRPr="003B782A" w:rsidRDefault="00D54FF9" w:rsidP="00921549">
            <w:pPr>
              <w:pStyle w:val="Table"/>
              <w:rPr>
                <w:rFonts w:eastAsia="Times New Roman"/>
              </w:rPr>
            </w:pPr>
            <w:r>
              <w:t>3984</w:t>
            </w:r>
          </w:p>
        </w:tc>
        <w:tc>
          <w:tcPr>
            <w:tcW w:w="0" w:type="auto"/>
            <w:vAlign w:val="center"/>
          </w:tcPr>
          <w:p w14:paraId="1E942E3C" w14:textId="2C6C210B" w:rsidR="00D54FF9" w:rsidRDefault="00D54FF9" w:rsidP="00921549">
            <w:pPr>
              <w:pStyle w:val="Table"/>
            </w:pPr>
            <w:r w:rsidRPr="00B65523">
              <w:t>2020-</w:t>
            </w:r>
            <w:r w:rsidRPr="00B65523">
              <w:rPr>
                <w:b/>
                <w:bCs/>
              </w:rPr>
              <w:t>08-13</w:t>
            </w:r>
            <w:r>
              <w:t xml:space="preserve"> till </w:t>
            </w:r>
            <w:r w:rsidRPr="00B65523">
              <w:t>2020-10-11</w:t>
            </w:r>
          </w:p>
        </w:tc>
      </w:tr>
      <w:tr w:rsidR="00D54FF9" w14:paraId="5B0F3B50" w14:textId="35BE6FAA" w:rsidTr="00921549">
        <w:trPr>
          <w:trHeight w:val="70"/>
        </w:trPr>
        <w:tc>
          <w:tcPr>
            <w:tcW w:w="0" w:type="auto"/>
            <w:vAlign w:val="center"/>
          </w:tcPr>
          <w:p w14:paraId="6E2BEE83" w14:textId="04FCE466" w:rsidR="00D54FF9" w:rsidRPr="005739C1" w:rsidRDefault="00D54FF9" w:rsidP="00921549">
            <w:pPr>
              <w:pStyle w:val="Table"/>
              <w:rPr>
                <w:b/>
              </w:rPr>
            </w:pPr>
            <w:r w:rsidRPr="005739C1">
              <w:rPr>
                <w:b/>
              </w:rPr>
              <w:t>w14</w:t>
            </w:r>
          </w:p>
        </w:tc>
        <w:tc>
          <w:tcPr>
            <w:tcW w:w="0" w:type="auto"/>
            <w:vAlign w:val="center"/>
          </w:tcPr>
          <w:p w14:paraId="01F60879" w14:textId="29C7A08E" w:rsidR="00D54FF9" w:rsidRDefault="00D54FF9" w:rsidP="00921549">
            <w:pPr>
              <w:pStyle w:val="Table"/>
            </w:pPr>
            <w:r>
              <w:t>6</w:t>
            </w:r>
          </w:p>
        </w:tc>
        <w:tc>
          <w:tcPr>
            <w:tcW w:w="0" w:type="auto"/>
            <w:vAlign w:val="center"/>
          </w:tcPr>
          <w:p w14:paraId="266A1180" w14:textId="71DE8DE2" w:rsidR="00D54FF9" w:rsidRPr="003B782A" w:rsidRDefault="00D54FF9" w:rsidP="00921549">
            <w:pPr>
              <w:pStyle w:val="Table"/>
              <w:rPr>
                <w:rFonts w:eastAsia="Times New Roman"/>
              </w:rPr>
            </w:pPr>
            <w:r>
              <w:t>3476</w:t>
            </w:r>
          </w:p>
        </w:tc>
        <w:tc>
          <w:tcPr>
            <w:tcW w:w="0" w:type="auto"/>
            <w:vAlign w:val="center"/>
          </w:tcPr>
          <w:p w14:paraId="4E2E235B" w14:textId="77777777" w:rsidR="00D54FF9" w:rsidRPr="003B782A" w:rsidRDefault="00D54FF9" w:rsidP="00921549">
            <w:pPr>
              <w:pStyle w:val="Table"/>
              <w:rPr>
                <w:rFonts w:eastAsia="Times New Roman"/>
              </w:rPr>
            </w:pPr>
            <w:r>
              <w:t>3475</w:t>
            </w:r>
          </w:p>
        </w:tc>
        <w:tc>
          <w:tcPr>
            <w:tcW w:w="0" w:type="auto"/>
            <w:vAlign w:val="center"/>
          </w:tcPr>
          <w:p w14:paraId="65CEAB9D" w14:textId="3414030E" w:rsidR="00D54FF9" w:rsidRDefault="00D54FF9" w:rsidP="00921549">
            <w:pPr>
              <w:pStyle w:val="Table"/>
            </w:pPr>
            <w:r w:rsidRPr="00B65523">
              <w:t>2020-</w:t>
            </w:r>
            <w:r w:rsidRPr="00B65523">
              <w:rPr>
                <w:b/>
                <w:bCs/>
              </w:rPr>
              <w:t>09-14</w:t>
            </w:r>
            <w:r>
              <w:t xml:space="preserve"> till </w:t>
            </w:r>
            <w:r w:rsidRPr="00B65523">
              <w:t>2020-10-10</w:t>
            </w:r>
          </w:p>
        </w:tc>
      </w:tr>
      <w:tr w:rsidR="00D54FF9" w14:paraId="25928101" w14:textId="449AA497" w:rsidTr="00921549">
        <w:trPr>
          <w:trHeight w:val="70"/>
        </w:trPr>
        <w:tc>
          <w:tcPr>
            <w:tcW w:w="0" w:type="auto"/>
            <w:vAlign w:val="center"/>
          </w:tcPr>
          <w:p w14:paraId="7263636C" w14:textId="74D2D82C" w:rsidR="00D54FF9" w:rsidRPr="005739C1" w:rsidRDefault="00D54FF9" w:rsidP="00921549">
            <w:pPr>
              <w:pStyle w:val="Table"/>
              <w:rPr>
                <w:b/>
              </w:rPr>
            </w:pPr>
            <w:r w:rsidRPr="005739C1">
              <w:rPr>
                <w:b/>
              </w:rPr>
              <w:t>w15</w:t>
            </w:r>
          </w:p>
        </w:tc>
        <w:tc>
          <w:tcPr>
            <w:tcW w:w="0" w:type="auto"/>
            <w:vAlign w:val="center"/>
          </w:tcPr>
          <w:p w14:paraId="2E0068A4" w14:textId="6A674039" w:rsidR="00D54FF9" w:rsidRDefault="00D54FF9" w:rsidP="00921549">
            <w:pPr>
              <w:pStyle w:val="Table"/>
            </w:pPr>
            <w:r>
              <w:t>7</w:t>
            </w:r>
          </w:p>
        </w:tc>
        <w:tc>
          <w:tcPr>
            <w:tcW w:w="0" w:type="auto"/>
            <w:vAlign w:val="center"/>
          </w:tcPr>
          <w:p w14:paraId="69EA0DA2" w14:textId="56AFB6B0" w:rsidR="00D54FF9" w:rsidRPr="003B782A" w:rsidRDefault="00D54FF9" w:rsidP="00921549">
            <w:pPr>
              <w:pStyle w:val="Table"/>
              <w:rPr>
                <w:rFonts w:eastAsia="Times New Roman"/>
              </w:rPr>
            </w:pPr>
            <w:r>
              <w:t>4158</w:t>
            </w:r>
          </w:p>
        </w:tc>
        <w:tc>
          <w:tcPr>
            <w:tcW w:w="0" w:type="auto"/>
            <w:vAlign w:val="center"/>
          </w:tcPr>
          <w:p w14:paraId="5319F32A" w14:textId="77777777" w:rsidR="00D54FF9" w:rsidRPr="003B782A" w:rsidRDefault="00D54FF9" w:rsidP="00921549">
            <w:pPr>
              <w:pStyle w:val="Table"/>
              <w:rPr>
                <w:rFonts w:eastAsia="Times New Roman"/>
              </w:rPr>
            </w:pPr>
            <w:r>
              <w:t>4156</w:t>
            </w:r>
          </w:p>
        </w:tc>
        <w:tc>
          <w:tcPr>
            <w:tcW w:w="0" w:type="auto"/>
            <w:vAlign w:val="center"/>
          </w:tcPr>
          <w:p w14:paraId="7BA906AD" w14:textId="00A0A263" w:rsidR="00D54FF9" w:rsidRDefault="00D54FF9" w:rsidP="00921549">
            <w:pPr>
              <w:pStyle w:val="Table"/>
            </w:pPr>
            <w:r w:rsidRPr="00B65523">
              <w:t>2020-</w:t>
            </w:r>
            <w:r w:rsidRPr="00B65523">
              <w:rPr>
                <w:b/>
                <w:bCs/>
              </w:rPr>
              <w:t>10-13</w:t>
            </w:r>
            <w:r>
              <w:t xml:space="preserve"> till </w:t>
            </w:r>
            <w:r w:rsidRPr="00B65523">
              <w:t>2020-11-10</w:t>
            </w:r>
          </w:p>
        </w:tc>
      </w:tr>
      <w:tr w:rsidR="00D54FF9" w14:paraId="57476185" w14:textId="1E72022D" w:rsidTr="00921549">
        <w:trPr>
          <w:trHeight w:val="70"/>
        </w:trPr>
        <w:tc>
          <w:tcPr>
            <w:tcW w:w="0" w:type="auto"/>
            <w:vAlign w:val="center"/>
          </w:tcPr>
          <w:p w14:paraId="006BC8AD" w14:textId="57BBF5E3" w:rsidR="00D54FF9" w:rsidRPr="005739C1" w:rsidRDefault="00D54FF9" w:rsidP="00921549">
            <w:pPr>
              <w:pStyle w:val="Table"/>
              <w:rPr>
                <w:b/>
              </w:rPr>
            </w:pPr>
            <w:r w:rsidRPr="005739C1">
              <w:rPr>
                <w:b/>
              </w:rPr>
              <w:t>w16</w:t>
            </w:r>
          </w:p>
        </w:tc>
        <w:tc>
          <w:tcPr>
            <w:tcW w:w="0" w:type="auto"/>
            <w:vAlign w:val="center"/>
          </w:tcPr>
          <w:p w14:paraId="04B5ECD2" w14:textId="1617C657" w:rsidR="00D54FF9" w:rsidRDefault="00D54FF9" w:rsidP="00921549">
            <w:pPr>
              <w:pStyle w:val="Table"/>
            </w:pPr>
            <w:r>
              <w:t>8</w:t>
            </w:r>
          </w:p>
        </w:tc>
        <w:tc>
          <w:tcPr>
            <w:tcW w:w="0" w:type="auto"/>
            <w:vAlign w:val="center"/>
          </w:tcPr>
          <w:p w14:paraId="41FE48FF" w14:textId="60BB18DE" w:rsidR="00D54FF9" w:rsidRPr="003B782A" w:rsidRDefault="00D54FF9" w:rsidP="00921549">
            <w:pPr>
              <w:pStyle w:val="Table"/>
              <w:rPr>
                <w:rFonts w:eastAsia="Times New Roman"/>
              </w:rPr>
            </w:pPr>
            <w:r>
              <w:t>3360</w:t>
            </w:r>
          </w:p>
        </w:tc>
        <w:tc>
          <w:tcPr>
            <w:tcW w:w="0" w:type="auto"/>
            <w:vAlign w:val="center"/>
          </w:tcPr>
          <w:p w14:paraId="534348A9" w14:textId="77777777" w:rsidR="00D54FF9" w:rsidRPr="003B782A" w:rsidRDefault="00D54FF9" w:rsidP="00921549">
            <w:pPr>
              <w:pStyle w:val="Table"/>
              <w:rPr>
                <w:rFonts w:eastAsia="Times New Roman"/>
              </w:rPr>
            </w:pPr>
            <w:r>
              <w:t>3360</w:t>
            </w:r>
          </w:p>
        </w:tc>
        <w:tc>
          <w:tcPr>
            <w:tcW w:w="0" w:type="auto"/>
            <w:vAlign w:val="center"/>
          </w:tcPr>
          <w:p w14:paraId="16CA3E69" w14:textId="63766886" w:rsidR="00D54FF9" w:rsidRDefault="00D54FF9" w:rsidP="00921549">
            <w:pPr>
              <w:pStyle w:val="Table"/>
            </w:pPr>
            <w:r w:rsidRPr="00B65523">
              <w:t>2020-</w:t>
            </w:r>
            <w:r w:rsidRPr="00B65523">
              <w:rPr>
                <w:b/>
                <w:bCs/>
              </w:rPr>
              <w:t>11-13</w:t>
            </w:r>
            <w:r>
              <w:t xml:space="preserve"> till </w:t>
            </w:r>
            <w:r w:rsidRPr="00B65523">
              <w:t>2020-12-27</w:t>
            </w:r>
          </w:p>
        </w:tc>
      </w:tr>
      <w:tr w:rsidR="00D54FF9" w14:paraId="39660133" w14:textId="67C8EF40" w:rsidTr="00921549">
        <w:trPr>
          <w:trHeight w:val="257"/>
        </w:trPr>
        <w:tc>
          <w:tcPr>
            <w:tcW w:w="0" w:type="auto"/>
            <w:vAlign w:val="center"/>
          </w:tcPr>
          <w:p w14:paraId="68751B42" w14:textId="60D4E080" w:rsidR="00D54FF9" w:rsidRPr="005739C1" w:rsidRDefault="00D54FF9" w:rsidP="00921549">
            <w:pPr>
              <w:pStyle w:val="Table"/>
              <w:rPr>
                <w:b/>
              </w:rPr>
            </w:pPr>
            <w:r w:rsidRPr="005739C1">
              <w:rPr>
                <w:b/>
              </w:rPr>
              <w:t>w17</w:t>
            </w:r>
          </w:p>
        </w:tc>
        <w:tc>
          <w:tcPr>
            <w:tcW w:w="0" w:type="auto"/>
            <w:vAlign w:val="center"/>
          </w:tcPr>
          <w:p w14:paraId="1E2E8170" w14:textId="2920C635" w:rsidR="00D54FF9" w:rsidRDefault="00D54FF9" w:rsidP="00921549">
            <w:pPr>
              <w:pStyle w:val="Table"/>
            </w:pPr>
            <w:r>
              <w:t>9</w:t>
            </w:r>
          </w:p>
        </w:tc>
        <w:tc>
          <w:tcPr>
            <w:tcW w:w="0" w:type="auto"/>
            <w:vAlign w:val="center"/>
          </w:tcPr>
          <w:p w14:paraId="6FA39B0D" w14:textId="524AE48B" w:rsidR="00D54FF9" w:rsidRPr="003B782A" w:rsidRDefault="00D54FF9" w:rsidP="00921549">
            <w:pPr>
              <w:pStyle w:val="Table"/>
              <w:rPr>
                <w:rFonts w:eastAsia="Times New Roman"/>
              </w:rPr>
            </w:pPr>
            <w:r>
              <w:t>3199</w:t>
            </w:r>
          </w:p>
        </w:tc>
        <w:tc>
          <w:tcPr>
            <w:tcW w:w="0" w:type="auto"/>
            <w:vAlign w:val="center"/>
          </w:tcPr>
          <w:p w14:paraId="72802706" w14:textId="77777777" w:rsidR="00D54FF9" w:rsidRPr="003B782A" w:rsidRDefault="00D54FF9" w:rsidP="00921549">
            <w:pPr>
              <w:pStyle w:val="Table"/>
              <w:rPr>
                <w:rFonts w:eastAsia="Times New Roman"/>
              </w:rPr>
            </w:pPr>
            <w:r>
              <w:t>3199</w:t>
            </w:r>
          </w:p>
        </w:tc>
        <w:tc>
          <w:tcPr>
            <w:tcW w:w="0" w:type="auto"/>
            <w:vAlign w:val="center"/>
          </w:tcPr>
          <w:p w14:paraId="228F516E" w14:textId="2D0B6404" w:rsidR="00D54FF9" w:rsidRDefault="00D54FF9" w:rsidP="00921549">
            <w:pPr>
              <w:pStyle w:val="Table"/>
            </w:pPr>
            <w:r w:rsidRPr="00B65523">
              <w:t>2020-</w:t>
            </w:r>
            <w:r w:rsidRPr="00B65523">
              <w:rPr>
                <w:b/>
                <w:bCs/>
              </w:rPr>
              <w:t>12-13</w:t>
            </w:r>
            <w:r>
              <w:t xml:space="preserve"> till </w:t>
            </w:r>
            <w:r w:rsidRPr="00B65523">
              <w:t>2021-01-25</w:t>
            </w:r>
          </w:p>
        </w:tc>
      </w:tr>
      <w:tr w:rsidR="00D54FF9" w14:paraId="067D8636" w14:textId="6F33A101" w:rsidTr="00921549">
        <w:trPr>
          <w:trHeight w:val="70"/>
        </w:trPr>
        <w:tc>
          <w:tcPr>
            <w:tcW w:w="0" w:type="auto"/>
            <w:vAlign w:val="center"/>
          </w:tcPr>
          <w:p w14:paraId="1948CA49" w14:textId="61B582F0" w:rsidR="00D54FF9" w:rsidRPr="005739C1" w:rsidRDefault="00D54FF9" w:rsidP="00921549">
            <w:pPr>
              <w:pStyle w:val="Table"/>
              <w:rPr>
                <w:b/>
              </w:rPr>
            </w:pPr>
            <w:r w:rsidRPr="005739C1">
              <w:rPr>
                <w:b/>
              </w:rPr>
              <w:t>w18</w:t>
            </w:r>
          </w:p>
        </w:tc>
        <w:tc>
          <w:tcPr>
            <w:tcW w:w="0" w:type="auto"/>
            <w:vAlign w:val="center"/>
          </w:tcPr>
          <w:p w14:paraId="1F6F69B6" w14:textId="1D65F96C" w:rsidR="00D54FF9" w:rsidRDefault="00D54FF9" w:rsidP="00921549">
            <w:pPr>
              <w:pStyle w:val="Table"/>
            </w:pPr>
            <w:r>
              <w:t>10</w:t>
            </w:r>
          </w:p>
        </w:tc>
        <w:tc>
          <w:tcPr>
            <w:tcW w:w="0" w:type="auto"/>
            <w:vAlign w:val="center"/>
          </w:tcPr>
          <w:p w14:paraId="1885144F" w14:textId="79287076" w:rsidR="00D54FF9" w:rsidRPr="003B782A" w:rsidRDefault="00D54FF9" w:rsidP="00921549">
            <w:pPr>
              <w:pStyle w:val="Table"/>
              <w:rPr>
                <w:rFonts w:eastAsia="Times New Roman"/>
              </w:rPr>
            </w:pPr>
            <w:r>
              <w:t>3174</w:t>
            </w:r>
          </w:p>
        </w:tc>
        <w:tc>
          <w:tcPr>
            <w:tcW w:w="0" w:type="auto"/>
            <w:vAlign w:val="center"/>
          </w:tcPr>
          <w:p w14:paraId="4468E09B" w14:textId="77777777" w:rsidR="00D54FF9" w:rsidRPr="003B782A" w:rsidRDefault="00D54FF9" w:rsidP="00921549">
            <w:pPr>
              <w:pStyle w:val="Table"/>
              <w:rPr>
                <w:rFonts w:eastAsia="Times New Roman"/>
              </w:rPr>
            </w:pPr>
            <w:r>
              <w:t>3173</w:t>
            </w:r>
          </w:p>
        </w:tc>
        <w:tc>
          <w:tcPr>
            <w:tcW w:w="0" w:type="auto"/>
            <w:vAlign w:val="center"/>
          </w:tcPr>
          <w:p w14:paraId="2AB49E79" w14:textId="417A6B34" w:rsidR="00D54FF9" w:rsidRDefault="00D54FF9" w:rsidP="00921549">
            <w:pPr>
              <w:pStyle w:val="Table"/>
            </w:pPr>
            <w:r w:rsidRPr="00B65523">
              <w:t>2021-</w:t>
            </w:r>
            <w:r w:rsidRPr="00B65523">
              <w:rPr>
                <w:b/>
                <w:bCs/>
              </w:rPr>
              <w:t>01-13</w:t>
            </w:r>
            <w:r>
              <w:t xml:space="preserve"> till </w:t>
            </w:r>
            <w:r w:rsidRPr="00B65523">
              <w:t>2021-02-25</w:t>
            </w:r>
          </w:p>
        </w:tc>
      </w:tr>
      <w:tr w:rsidR="00D54FF9" w14:paraId="4BA62BA6" w14:textId="6E304C37" w:rsidTr="00921549">
        <w:trPr>
          <w:trHeight w:val="190"/>
        </w:trPr>
        <w:tc>
          <w:tcPr>
            <w:tcW w:w="0" w:type="auto"/>
            <w:vAlign w:val="center"/>
          </w:tcPr>
          <w:p w14:paraId="18926850" w14:textId="0B6D155F" w:rsidR="00D54FF9" w:rsidRPr="005739C1" w:rsidRDefault="00D54FF9" w:rsidP="00921549">
            <w:pPr>
              <w:pStyle w:val="Table"/>
              <w:rPr>
                <w:b/>
              </w:rPr>
            </w:pPr>
            <w:r w:rsidRPr="005739C1">
              <w:rPr>
                <w:b/>
              </w:rPr>
              <w:t>w19</w:t>
            </w:r>
          </w:p>
        </w:tc>
        <w:tc>
          <w:tcPr>
            <w:tcW w:w="0" w:type="auto"/>
            <w:vAlign w:val="center"/>
          </w:tcPr>
          <w:p w14:paraId="30F6185A" w14:textId="549CE751" w:rsidR="00D54FF9" w:rsidRDefault="00D54FF9" w:rsidP="00921549">
            <w:pPr>
              <w:pStyle w:val="Table"/>
            </w:pPr>
            <w:r>
              <w:t>11</w:t>
            </w:r>
          </w:p>
        </w:tc>
        <w:tc>
          <w:tcPr>
            <w:tcW w:w="0" w:type="auto"/>
            <w:vAlign w:val="center"/>
          </w:tcPr>
          <w:p w14:paraId="43B87C5C" w14:textId="103734ED" w:rsidR="00D54FF9" w:rsidRPr="003B782A" w:rsidRDefault="00D54FF9" w:rsidP="00921549">
            <w:pPr>
              <w:pStyle w:val="Table"/>
              <w:rPr>
                <w:rFonts w:eastAsia="Times New Roman"/>
              </w:rPr>
            </w:pPr>
            <w:r>
              <w:t>3171</w:t>
            </w:r>
          </w:p>
        </w:tc>
        <w:tc>
          <w:tcPr>
            <w:tcW w:w="0" w:type="auto"/>
            <w:vAlign w:val="center"/>
          </w:tcPr>
          <w:p w14:paraId="1787B136" w14:textId="77777777" w:rsidR="00D54FF9" w:rsidRPr="003B782A" w:rsidRDefault="00D54FF9" w:rsidP="00921549">
            <w:pPr>
              <w:pStyle w:val="Table"/>
              <w:rPr>
                <w:rFonts w:eastAsia="Times New Roman"/>
              </w:rPr>
            </w:pPr>
            <w:r>
              <w:t>3169</w:t>
            </w:r>
          </w:p>
        </w:tc>
        <w:tc>
          <w:tcPr>
            <w:tcW w:w="0" w:type="auto"/>
            <w:vAlign w:val="center"/>
          </w:tcPr>
          <w:p w14:paraId="4DE8C607" w14:textId="21402207" w:rsidR="00D54FF9" w:rsidRDefault="00D54FF9" w:rsidP="00921549">
            <w:pPr>
              <w:pStyle w:val="Table"/>
            </w:pPr>
            <w:r w:rsidRPr="00B65523">
              <w:t>2021-</w:t>
            </w:r>
            <w:r w:rsidRPr="00B65523">
              <w:rPr>
                <w:b/>
                <w:bCs/>
              </w:rPr>
              <w:t>02-13</w:t>
            </w:r>
            <w:r>
              <w:t xml:space="preserve"> till </w:t>
            </w:r>
            <w:r w:rsidRPr="00B65523">
              <w:t>2021-02-26</w:t>
            </w:r>
          </w:p>
        </w:tc>
      </w:tr>
      <w:tr w:rsidR="00D54FF9" w14:paraId="479B3599" w14:textId="7601D1AE" w:rsidTr="00921549">
        <w:trPr>
          <w:trHeight w:val="70"/>
        </w:trPr>
        <w:tc>
          <w:tcPr>
            <w:tcW w:w="0" w:type="auto"/>
            <w:vAlign w:val="center"/>
          </w:tcPr>
          <w:p w14:paraId="40E560A3" w14:textId="72D98B5D" w:rsidR="00D54FF9" w:rsidRPr="005739C1" w:rsidRDefault="00D54FF9" w:rsidP="00921549">
            <w:pPr>
              <w:pStyle w:val="Table"/>
              <w:rPr>
                <w:b/>
              </w:rPr>
            </w:pPr>
            <w:r w:rsidRPr="005739C1">
              <w:rPr>
                <w:b/>
              </w:rPr>
              <w:t>w20</w:t>
            </w:r>
          </w:p>
        </w:tc>
        <w:tc>
          <w:tcPr>
            <w:tcW w:w="0" w:type="auto"/>
            <w:vAlign w:val="center"/>
          </w:tcPr>
          <w:p w14:paraId="6544F0FE" w14:textId="46CE91E0" w:rsidR="00D54FF9" w:rsidRDefault="00D54FF9" w:rsidP="00921549">
            <w:pPr>
              <w:pStyle w:val="Table"/>
            </w:pPr>
            <w:r>
              <w:t>12</w:t>
            </w:r>
          </w:p>
        </w:tc>
        <w:tc>
          <w:tcPr>
            <w:tcW w:w="0" w:type="auto"/>
            <w:vAlign w:val="center"/>
          </w:tcPr>
          <w:p w14:paraId="3AB9252E" w14:textId="6C110DA2" w:rsidR="00D54FF9" w:rsidRPr="003B782A" w:rsidRDefault="00D54FF9" w:rsidP="00921549">
            <w:pPr>
              <w:pStyle w:val="Table"/>
              <w:rPr>
                <w:rFonts w:eastAsia="Times New Roman"/>
              </w:rPr>
            </w:pPr>
            <w:r>
              <w:t>2991</w:t>
            </w:r>
          </w:p>
        </w:tc>
        <w:tc>
          <w:tcPr>
            <w:tcW w:w="0" w:type="auto"/>
            <w:vAlign w:val="center"/>
          </w:tcPr>
          <w:p w14:paraId="6BD438FD" w14:textId="77777777" w:rsidR="00D54FF9" w:rsidRPr="003B782A" w:rsidRDefault="00D54FF9" w:rsidP="00921549">
            <w:pPr>
              <w:pStyle w:val="Table"/>
              <w:rPr>
                <w:rFonts w:eastAsia="Times New Roman"/>
              </w:rPr>
            </w:pPr>
            <w:r>
              <w:t>2990</w:t>
            </w:r>
          </w:p>
        </w:tc>
        <w:tc>
          <w:tcPr>
            <w:tcW w:w="0" w:type="auto"/>
            <w:vAlign w:val="center"/>
          </w:tcPr>
          <w:p w14:paraId="3ED609EE" w14:textId="209168CD" w:rsidR="00D54FF9" w:rsidRDefault="00D54FF9" w:rsidP="00921549">
            <w:pPr>
              <w:pStyle w:val="Table"/>
            </w:pPr>
            <w:r w:rsidRPr="00B65523">
              <w:t>2021-</w:t>
            </w:r>
            <w:r w:rsidRPr="00B65523">
              <w:rPr>
                <w:b/>
                <w:bCs/>
              </w:rPr>
              <w:t>03-13</w:t>
            </w:r>
            <w:r>
              <w:t xml:space="preserve"> till </w:t>
            </w:r>
            <w:r w:rsidRPr="00B65523">
              <w:t>2021-04-12</w:t>
            </w:r>
          </w:p>
        </w:tc>
      </w:tr>
    </w:tbl>
    <w:p w14:paraId="0B9A6950" w14:textId="77777777" w:rsidR="00B85446" w:rsidRPr="00E35988" w:rsidRDefault="00B85446" w:rsidP="008F261B"/>
    <w:p w14:paraId="47818548" w14:textId="77777777" w:rsidR="009E2148" w:rsidRPr="00E35988" w:rsidRDefault="009E2148" w:rsidP="008F261B"/>
    <w:p w14:paraId="0FF52841" w14:textId="38967B4B" w:rsidR="00F77D23" w:rsidRPr="00E35988" w:rsidRDefault="00F77D23" w:rsidP="00921549">
      <w:pPr>
        <w:pStyle w:val="Heading2"/>
      </w:pPr>
      <w:r>
        <w:t xml:space="preserve">Open Science </w:t>
      </w:r>
      <w:r w:rsidR="00106BFA">
        <w:t>disclosure</w:t>
      </w:r>
    </w:p>
    <w:p w14:paraId="24376A20" w14:textId="665BE467" w:rsidR="00F77D23" w:rsidRPr="00E35988" w:rsidRDefault="00F77D23" w:rsidP="005739C1">
      <w:r w:rsidRPr="00E35988">
        <w:lastRenderedPageBreak/>
        <w:t xml:space="preserve">The data will become publicly available in 2021 (exact date unknown </w:t>
      </w:r>
      <w:proofErr w:type="gramStart"/>
      <w:r w:rsidRPr="00E35988">
        <w:t>at the moment</w:t>
      </w:r>
      <w:proofErr w:type="gramEnd"/>
      <w:r w:rsidRPr="00E35988">
        <w:t>).</w:t>
      </w:r>
      <w:r>
        <w:t xml:space="preserve"> </w:t>
      </w:r>
      <w:r w:rsidRPr="00E35988">
        <w:t>Researchers can find the data online and work with the data themselves after it has become publicly available</w:t>
      </w:r>
      <w:r>
        <w:t xml:space="preserve">. </w:t>
      </w:r>
      <w:r w:rsidRPr="00E35988">
        <w:t xml:space="preserve">For information about accessing the data in the meantime, contact the </w:t>
      </w:r>
      <w:proofErr w:type="spellStart"/>
      <w:r w:rsidRPr="00E35988">
        <w:t>Psycorona</w:t>
      </w:r>
      <w:proofErr w:type="spellEnd"/>
      <w:r w:rsidRPr="00E35988">
        <w:t xml:space="preserve"> team via </w:t>
      </w:r>
      <w:hyperlink r:id="rId6">
        <w:r w:rsidRPr="00E35988">
          <w:rPr>
            <w:u w:val="single"/>
          </w:rPr>
          <w:t>psycorona@rug.nl</w:t>
        </w:r>
      </w:hyperlink>
      <w:r w:rsidRPr="00E35988">
        <w:t xml:space="preserve">. A codebook of the variables </w:t>
      </w:r>
      <w:proofErr w:type="gramStart"/>
      <w:r w:rsidRPr="00E35988">
        <w:t>can be found</w:t>
      </w:r>
      <w:proofErr w:type="gramEnd"/>
      <w:r w:rsidRPr="00E35988">
        <w:t xml:space="preserve"> here </w:t>
      </w:r>
      <w:hyperlink r:id="rId7">
        <w:r w:rsidRPr="00E35988">
          <w:rPr>
            <w:u w:val="single"/>
          </w:rPr>
          <w:t>https://osf.io/qhyue/</w:t>
        </w:r>
      </w:hyperlink>
      <w:r w:rsidRPr="00E35988">
        <w:t>.</w:t>
      </w:r>
      <w:r w:rsidR="00106BFA">
        <w:t xml:space="preserve"> </w:t>
      </w:r>
      <w:r w:rsidR="00106BFA" w:rsidRPr="00E35988">
        <w:t xml:space="preserve">An overview of projects working with the same data can be found </w:t>
      </w:r>
      <w:proofErr w:type="gramStart"/>
      <w:r w:rsidR="00106BFA" w:rsidRPr="00E35988">
        <w:t xml:space="preserve">on </w:t>
      </w:r>
      <w:r w:rsidR="00106BFA" w:rsidRPr="00E35988">
        <w:rPr>
          <w:i/>
        </w:rPr>
        <w:t xml:space="preserve"> </w:t>
      </w:r>
      <w:proofErr w:type="gramEnd"/>
      <w:r w:rsidR="0038197B">
        <w:fldChar w:fldCharType="begin"/>
      </w:r>
      <w:r w:rsidR="0038197B">
        <w:instrText xml:space="preserve"> HYPERLINK "https://www.researchgate.net/project/PsyCorona-2" \h </w:instrText>
      </w:r>
      <w:r w:rsidR="0038197B">
        <w:fldChar w:fldCharType="separate"/>
      </w:r>
      <w:r w:rsidR="00106BFA" w:rsidRPr="00E35988">
        <w:rPr>
          <w:u w:val="single"/>
        </w:rPr>
        <w:t>https://www.researchgate.net/project/PsyCorona-2</w:t>
      </w:r>
      <w:r w:rsidR="0038197B">
        <w:rPr>
          <w:u w:val="single"/>
        </w:rPr>
        <w:fldChar w:fldCharType="end"/>
      </w:r>
      <w:r w:rsidR="00106BFA" w:rsidRPr="00E35988">
        <w:t xml:space="preserve"> </w:t>
      </w:r>
    </w:p>
    <w:p w14:paraId="77A8B2A3" w14:textId="5DAA1373" w:rsidR="00F77D23" w:rsidRPr="00E35988" w:rsidRDefault="00106BFA" w:rsidP="008F261B">
      <w:r>
        <w:t xml:space="preserve">This study was </w:t>
      </w:r>
      <w:proofErr w:type="spellStart"/>
      <w:r>
        <w:t>preregistrated</w:t>
      </w:r>
      <w:proofErr w:type="spellEnd"/>
      <w:r>
        <w:t xml:space="preserve">. The preregistration can be found on </w:t>
      </w:r>
      <w:proofErr w:type="gramStart"/>
      <w:r>
        <w:t>OSF  via</w:t>
      </w:r>
      <w:proofErr w:type="gramEnd"/>
      <w:r>
        <w:t xml:space="preserve"> </w:t>
      </w:r>
      <w:hyperlink r:id="rId8" w:history="1">
        <w:r w:rsidRPr="00753ECE">
          <w:rPr>
            <w:rStyle w:val="Hyperlink"/>
          </w:rPr>
          <w:t>https://osf.io/t4n39/?view_only=97301755123740f1b4d109139a97188c</w:t>
        </w:r>
      </w:hyperlink>
      <w:r>
        <w:t xml:space="preserve">. Changes that </w:t>
      </w:r>
      <w:proofErr w:type="gramStart"/>
      <w:r>
        <w:t>were made</w:t>
      </w:r>
      <w:proofErr w:type="gramEnd"/>
      <w:r>
        <w:t xml:space="preserve"> after preregistration are described in Supplement X. </w:t>
      </w:r>
    </w:p>
    <w:p w14:paraId="68F91680" w14:textId="1FBD8C9E" w:rsidR="00106BFA" w:rsidRPr="00E35988" w:rsidRDefault="00106BFA" w:rsidP="005739C1">
      <w:pPr>
        <w:pStyle w:val="Heading2"/>
      </w:pPr>
      <w:r>
        <w:t>Measures</w:t>
      </w:r>
    </w:p>
    <w:p w14:paraId="7C9314F3" w14:textId="29488244" w:rsidR="00106BFA" w:rsidRDefault="00106BFA" w:rsidP="008F261B">
      <w:r w:rsidRPr="00E35988">
        <w:t xml:space="preserve">An overview of all measured variables in the </w:t>
      </w:r>
      <w:proofErr w:type="spellStart"/>
      <w:r w:rsidRPr="00E35988">
        <w:t>Psycorona</w:t>
      </w:r>
      <w:proofErr w:type="spellEnd"/>
      <w:r w:rsidRPr="00E35988">
        <w:t xml:space="preserve"> study and when they are asked (how often) </w:t>
      </w:r>
      <w:r>
        <w:t xml:space="preserve">in table </w:t>
      </w:r>
      <w:r w:rsidR="009E2148">
        <w:t>1</w:t>
      </w:r>
      <w:r>
        <w:t xml:space="preserve">. </w:t>
      </w:r>
    </w:p>
    <w:p w14:paraId="38B7C84B" w14:textId="00BF785B" w:rsidR="00106BFA" w:rsidRPr="005739C1" w:rsidRDefault="00106BFA" w:rsidP="005739C1">
      <w:pPr>
        <w:pStyle w:val="Heading3"/>
      </w:pPr>
      <w:r w:rsidRPr="005739C1">
        <w:t xml:space="preserve">Happiness </w:t>
      </w:r>
    </w:p>
    <w:p w14:paraId="1193AAD1" w14:textId="18810818" w:rsidR="0038197B" w:rsidRPr="005739C1" w:rsidRDefault="00106BFA" w:rsidP="0038197B">
      <w:pPr>
        <w:pStyle w:val="Heading3"/>
      </w:pPr>
      <w:r w:rsidRPr="005739C1">
        <w:t>Social contact</w:t>
      </w:r>
    </w:p>
    <w:tbl>
      <w:tblPr>
        <w:tblStyle w:val="TableGrid"/>
        <w:tblW w:w="10485" w:type="dxa"/>
        <w:tblLook w:val="04A0" w:firstRow="1" w:lastRow="0" w:firstColumn="1" w:lastColumn="0" w:noHBand="0" w:noVBand="1"/>
      </w:tblPr>
      <w:tblGrid>
        <w:gridCol w:w="10485"/>
      </w:tblGrid>
      <w:tr w:rsidR="0038197B" w14:paraId="5008451D" w14:textId="77777777" w:rsidTr="0038197B">
        <w:tc>
          <w:tcPr>
            <w:tcW w:w="10485" w:type="dxa"/>
          </w:tcPr>
          <w:p w14:paraId="2CBC54A7" w14:textId="77777777" w:rsidR="0038197B" w:rsidRDefault="0038197B" w:rsidP="00053185">
            <w:pPr>
              <w:pStyle w:val="Table"/>
            </w:pPr>
            <w:r w:rsidRPr="00E35988">
              <w:t>Close contact</w:t>
            </w:r>
          </w:p>
        </w:tc>
      </w:tr>
      <w:tr w:rsidR="0038197B" w14:paraId="685E20C1" w14:textId="77777777" w:rsidTr="0038197B">
        <w:tc>
          <w:tcPr>
            <w:tcW w:w="10485" w:type="dxa"/>
          </w:tcPr>
          <w:p w14:paraId="68503715" w14:textId="77777777" w:rsidR="0038197B" w:rsidRDefault="0038197B" w:rsidP="00053185">
            <w:pPr>
              <w:pStyle w:val="Table"/>
            </w:pPr>
            <w:r w:rsidRPr="00E35988">
              <w:t>Other contact</w:t>
            </w:r>
          </w:p>
        </w:tc>
      </w:tr>
      <w:tr w:rsidR="0038197B" w14:paraId="7F9E2B38" w14:textId="77777777" w:rsidTr="0038197B">
        <w:tc>
          <w:tcPr>
            <w:tcW w:w="10485" w:type="dxa"/>
          </w:tcPr>
          <w:p w14:paraId="7E1B7D2D" w14:textId="77777777" w:rsidR="0038197B" w:rsidRDefault="0038197B" w:rsidP="00053185">
            <w:pPr>
              <w:pStyle w:val="Table"/>
            </w:pPr>
            <w:r w:rsidRPr="00E35988">
              <w:t>Close online</w:t>
            </w:r>
          </w:p>
        </w:tc>
      </w:tr>
      <w:tr w:rsidR="0038197B" w14:paraId="2AE1F84D" w14:textId="77777777" w:rsidTr="0038197B">
        <w:tc>
          <w:tcPr>
            <w:tcW w:w="10485" w:type="dxa"/>
          </w:tcPr>
          <w:p w14:paraId="71ECF78E" w14:textId="77777777" w:rsidR="0038197B" w:rsidRDefault="0038197B" w:rsidP="00053185">
            <w:pPr>
              <w:pStyle w:val="Table"/>
            </w:pPr>
            <w:r w:rsidRPr="00E35988">
              <w:t>Other online</w:t>
            </w:r>
          </w:p>
        </w:tc>
      </w:tr>
      <w:tr w:rsidR="0038197B" w14:paraId="158ED6A8" w14:textId="77777777" w:rsidTr="0038197B">
        <w:tc>
          <w:tcPr>
            <w:tcW w:w="10485" w:type="dxa"/>
          </w:tcPr>
          <w:p w14:paraId="39FF633C" w14:textId="77777777" w:rsidR="0038197B" w:rsidRDefault="0038197B" w:rsidP="00053185">
            <w:pPr>
              <w:pStyle w:val="Table"/>
            </w:pPr>
            <w:r w:rsidRPr="00E35988">
              <w:t>Leave house</w:t>
            </w:r>
          </w:p>
        </w:tc>
      </w:tr>
      <w:tr w:rsidR="0038197B" w14:paraId="238E6428" w14:textId="77777777" w:rsidTr="0038197B">
        <w:tc>
          <w:tcPr>
            <w:tcW w:w="10485" w:type="dxa"/>
          </w:tcPr>
          <w:p w14:paraId="23CDA70D" w14:textId="77777777" w:rsidR="0038197B" w:rsidRDefault="0038197B" w:rsidP="00053185">
            <w:pPr>
              <w:pStyle w:val="Table"/>
            </w:pPr>
            <w:r w:rsidRPr="00E35988">
              <w:t>Leave house why</w:t>
            </w:r>
            <w:bookmarkStart w:id="2" w:name="_GoBack"/>
            <w:bookmarkEnd w:id="2"/>
          </w:p>
        </w:tc>
      </w:tr>
      <w:tr w:rsidR="0038197B" w14:paraId="4E26AA01" w14:textId="77777777" w:rsidTr="0038197B">
        <w:trPr>
          <w:trHeight w:val="163"/>
        </w:trPr>
        <w:tc>
          <w:tcPr>
            <w:tcW w:w="10485" w:type="dxa"/>
          </w:tcPr>
          <w:p w14:paraId="52B03D26" w14:textId="3284B602" w:rsidR="0038197B" w:rsidRPr="00E35988" w:rsidRDefault="0038197B" w:rsidP="0038197B">
            <w:pPr>
              <w:pStyle w:val="Table"/>
            </w:pPr>
            <w:r w:rsidRPr="00E35988">
              <w:t>Stringency</w:t>
            </w:r>
          </w:p>
        </w:tc>
      </w:tr>
    </w:tbl>
    <w:p w14:paraId="61489920" w14:textId="77777777" w:rsidR="0038197B" w:rsidRDefault="0038197B" w:rsidP="005739C1">
      <w:pPr>
        <w:pStyle w:val="Heading3"/>
      </w:pPr>
    </w:p>
    <w:p w14:paraId="56DC8A03" w14:textId="15044E9D" w:rsidR="00FE6606" w:rsidRDefault="00FE6606" w:rsidP="005739C1">
      <w:pPr>
        <w:pStyle w:val="Heading3"/>
      </w:pPr>
      <w:r w:rsidRPr="005739C1">
        <w:t>Subjective personal characteristics</w:t>
      </w:r>
    </w:p>
    <w:tbl>
      <w:tblPr>
        <w:tblStyle w:val="TableGrid"/>
        <w:tblW w:w="10485" w:type="dxa"/>
        <w:tblLook w:val="04A0" w:firstRow="1" w:lastRow="0" w:firstColumn="1" w:lastColumn="0" w:noHBand="0" w:noVBand="1"/>
      </w:tblPr>
      <w:tblGrid>
        <w:gridCol w:w="10485"/>
      </w:tblGrid>
      <w:tr w:rsidR="0038197B" w14:paraId="60D2D3A7" w14:textId="77777777" w:rsidTr="0038197B">
        <w:tc>
          <w:tcPr>
            <w:tcW w:w="10485" w:type="dxa"/>
          </w:tcPr>
          <w:p w14:paraId="7E92CD16" w14:textId="77777777" w:rsidR="0038197B" w:rsidRDefault="0038197B" w:rsidP="00053185">
            <w:pPr>
              <w:pStyle w:val="Table"/>
            </w:pPr>
            <w:r w:rsidRPr="00E35988">
              <w:t>Satisfaction w. relationships</w:t>
            </w:r>
          </w:p>
        </w:tc>
      </w:tr>
      <w:tr w:rsidR="0038197B" w14:paraId="344B2008" w14:textId="77777777" w:rsidTr="0038197B">
        <w:tc>
          <w:tcPr>
            <w:tcW w:w="10485" w:type="dxa"/>
          </w:tcPr>
          <w:p w14:paraId="130EA7E1" w14:textId="77777777" w:rsidR="0038197B" w:rsidRDefault="0038197B" w:rsidP="00053185">
            <w:pPr>
              <w:pStyle w:val="Table"/>
            </w:pPr>
            <w:r w:rsidRPr="00E35988">
              <w:t>Loneliness</w:t>
            </w:r>
          </w:p>
        </w:tc>
      </w:tr>
      <w:tr w:rsidR="0038197B" w14:paraId="6840C8BB" w14:textId="77777777" w:rsidTr="0038197B">
        <w:tc>
          <w:tcPr>
            <w:tcW w:w="10485" w:type="dxa"/>
          </w:tcPr>
          <w:p w14:paraId="41189CB6" w14:textId="77777777" w:rsidR="0038197B" w:rsidRDefault="0038197B" w:rsidP="00053185">
            <w:pPr>
              <w:pStyle w:val="Table"/>
            </w:pPr>
            <w:r w:rsidRPr="00E35988">
              <w:t>Neuroticism</w:t>
            </w:r>
          </w:p>
        </w:tc>
      </w:tr>
      <w:tr w:rsidR="0038197B" w14:paraId="763FC7F0" w14:textId="77777777" w:rsidTr="0038197B">
        <w:tc>
          <w:tcPr>
            <w:tcW w:w="10485" w:type="dxa"/>
          </w:tcPr>
          <w:p w14:paraId="1861AD3D" w14:textId="77777777" w:rsidR="0038197B" w:rsidRDefault="0038197B" w:rsidP="00053185">
            <w:pPr>
              <w:pStyle w:val="Table"/>
            </w:pPr>
            <w:r w:rsidRPr="00E35988">
              <w:t>Financial strain</w:t>
            </w:r>
          </w:p>
        </w:tc>
      </w:tr>
      <w:tr w:rsidR="0038197B" w14:paraId="236637ED" w14:textId="77777777" w:rsidTr="0038197B">
        <w:tc>
          <w:tcPr>
            <w:tcW w:w="10485" w:type="dxa"/>
          </w:tcPr>
          <w:p w14:paraId="07E626AC" w14:textId="77777777" w:rsidR="0038197B" w:rsidRDefault="0038197B" w:rsidP="00053185">
            <w:pPr>
              <w:pStyle w:val="Table"/>
            </w:pPr>
            <w:r w:rsidRPr="00E35988">
              <w:t>Close Corona</w:t>
            </w:r>
          </w:p>
        </w:tc>
      </w:tr>
    </w:tbl>
    <w:p w14:paraId="2ACBBB5A" w14:textId="77777777" w:rsidR="0038197B" w:rsidRPr="0038197B" w:rsidRDefault="0038197B" w:rsidP="0038197B"/>
    <w:p w14:paraId="24F66556" w14:textId="348D0835" w:rsidR="00FE6606" w:rsidRPr="005739C1" w:rsidRDefault="00FE6606" w:rsidP="005739C1">
      <w:pPr>
        <w:pStyle w:val="Heading3"/>
        <w:rPr>
          <w:highlight w:val="yellow"/>
        </w:rPr>
      </w:pPr>
      <w:r w:rsidRPr="005739C1">
        <w:t>Demographics</w:t>
      </w:r>
    </w:p>
    <w:tbl>
      <w:tblPr>
        <w:tblStyle w:val="TableGrid"/>
        <w:tblW w:w="10485" w:type="dxa"/>
        <w:tblLook w:val="04A0" w:firstRow="1" w:lastRow="0" w:firstColumn="1" w:lastColumn="0" w:noHBand="0" w:noVBand="1"/>
      </w:tblPr>
      <w:tblGrid>
        <w:gridCol w:w="10485"/>
      </w:tblGrid>
      <w:tr w:rsidR="0038197B" w14:paraId="6F2CB015" w14:textId="77777777" w:rsidTr="00053185">
        <w:tc>
          <w:tcPr>
            <w:tcW w:w="10485" w:type="dxa"/>
          </w:tcPr>
          <w:p w14:paraId="0EABC837" w14:textId="77777777" w:rsidR="0038197B" w:rsidRDefault="0038197B" w:rsidP="00053185">
            <w:pPr>
              <w:pStyle w:val="Table"/>
            </w:pPr>
            <w:r w:rsidRPr="00E35988">
              <w:lastRenderedPageBreak/>
              <w:t>Gender</w:t>
            </w:r>
          </w:p>
        </w:tc>
      </w:tr>
      <w:tr w:rsidR="0038197B" w14:paraId="6B8055B7" w14:textId="77777777" w:rsidTr="00053185">
        <w:tc>
          <w:tcPr>
            <w:tcW w:w="10485" w:type="dxa"/>
          </w:tcPr>
          <w:p w14:paraId="206C081F" w14:textId="77777777" w:rsidR="0038197B" w:rsidRDefault="0038197B" w:rsidP="00053185">
            <w:pPr>
              <w:pStyle w:val="Table"/>
            </w:pPr>
            <w:r w:rsidRPr="00E35988">
              <w:t>Age</w:t>
            </w:r>
          </w:p>
        </w:tc>
      </w:tr>
      <w:tr w:rsidR="0038197B" w14:paraId="0859BBCF" w14:textId="77777777" w:rsidTr="00053185">
        <w:tc>
          <w:tcPr>
            <w:tcW w:w="10485" w:type="dxa"/>
          </w:tcPr>
          <w:p w14:paraId="3565401F" w14:textId="77777777" w:rsidR="0038197B" w:rsidRDefault="0038197B" w:rsidP="00053185">
            <w:pPr>
              <w:pStyle w:val="Table"/>
            </w:pPr>
            <w:r w:rsidRPr="00E35988">
              <w:t>Education</w:t>
            </w:r>
          </w:p>
        </w:tc>
      </w:tr>
      <w:tr w:rsidR="0038197B" w14:paraId="48AD9719" w14:textId="77777777" w:rsidTr="00053185">
        <w:tc>
          <w:tcPr>
            <w:tcW w:w="10485" w:type="dxa"/>
          </w:tcPr>
          <w:p w14:paraId="75869FCE" w14:textId="77777777" w:rsidR="0038197B" w:rsidRDefault="0038197B" w:rsidP="00053185">
            <w:pPr>
              <w:pStyle w:val="Table"/>
            </w:pPr>
            <w:r w:rsidRPr="00E35988">
              <w:t>Employment status</w:t>
            </w:r>
          </w:p>
        </w:tc>
      </w:tr>
      <w:tr w:rsidR="0038197B" w14:paraId="4A1AA48F" w14:textId="77777777" w:rsidTr="00053185">
        <w:tc>
          <w:tcPr>
            <w:tcW w:w="10485" w:type="dxa"/>
          </w:tcPr>
          <w:p w14:paraId="468A7E43" w14:textId="77777777" w:rsidR="0038197B" w:rsidRDefault="0038197B" w:rsidP="00053185">
            <w:pPr>
              <w:pStyle w:val="Table"/>
            </w:pPr>
            <w:r w:rsidRPr="00E35988">
              <w:t>Living with</w:t>
            </w:r>
          </w:p>
        </w:tc>
      </w:tr>
      <w:tr w:rsidR="0038197B" w14:paraId="44191B31" w14:textId="77777777" w:rsidTr="00053185">
        <w:tc>
          <w:tcPr>
            <w:tcW w:w="10485" w:type="dxa"/>
          </w:tcPr>
          <w:p w14:paraId="7B27E214" w14:textId="77777777" w:rsidR="0038197B" w:rsidRDefault="0038197B" w:rsidP="00053185">
            <w:pPr>
              <w:pStyle w:val="Table"/>
            </w:pPr>
            <w:r w:rsidRPr="00E35988">
              <w:t>Living with who</w:t>
            </w:r>
          </w:p>
        </w:tc>
      </w:tr>
      <w:tr w:rsidR="0038197B" w14:paraId="16386752" w14:textId="77777777" w:rsidTr="00053185">
        <w:tc>
          <w:tcPr>
            <w:tcW w:w="10485" w:type="dxa"/>
          </w:tcPr>
          <w:p w14:paraId="1234FF72" w14:textId="77777777" w:rsidR="0038197B" w:rsidRDefault="0038197B" w:rsidP="00053185">
            <w:pPr>
              <w:pStyle w:val="Table"/>
            </w:pPr>
            <w:proofErr w:type="spellStart"/>
            <w:r w:rsidRPr="00E35988">
              <w:t>Phys</w:t>
            </w:r>
            <w:proofErr w:type="spellEnd"/>
            <w:r w:rsidRPr="00E35988">
              <w:t xml:space="preserve"> health</w:t>
            </w:r>
          </w:p>
        </w:tc>
      </w:tr>
      <w:tr w:rsidR="0038197B" w14:paraId="1C1D5B90" w14:textId="77777777" w:rsidTr="00053185">
        <w:tc>
          <w:tcPr>
            <w:tcW w:w="10485" w:type="dxa"/>
          </w:tcPr>
          <w:p w14:paraId="0CE08364" w14:textId="77777777" w:rsidR="0038197B" w:rsidRDefault="0038197B" w:rsidP="00053185">
            <w:pPr>
              <w:pStyle w:val="Table"/>
            </w:pPr>
            <w:r w:rsidRPr="00E35988">
              <w:t>Country</w:t>
            </w:r>
          </w:p>
        </w:tc>
      </w:tr>
      <w:tr w:rsidR="0038197B" w14:paraId="31F9CE55" w14:textId="77777777" w:rsidTr="00053185">
        <w:tc>
          <w:tcPr>
            <w:tcW w:w="10485" w:type="dxa"/>
          </w:tcPr>
          <w:p w14:paraId="2D4E5AB0" w14:textId="77777777" w:rsidR="0038197B" w:rsidRDefault="0038197B" w:rsidP="00053185">
            <w:pPr>
              <w:pStyle w:val="Table"/>
            </w:pPr>
            <w:r w:rsidRPr="00E35988">
              <w:t>Country citizen</w:t>
            </w:r>
          </w:p>
        </w:tc>
      </w:tr>
    </w:tbl>
    <w:p w14:paraId="588413FB" w14:textId="77777777" w:rsidR="00106BFA" w:rsidRDefault="00106BFA" w:rsidP="008F261B"/>
    <w:p w14:paraId="786B886E" w14:textId="34239FB7" w:rsidR="00106BFA" w:rsidRPr="00E35988" w:rsidRDefault="00106BFA" w:rsidP="005739C1">
      <w:pPr>
        <w:pStyle w:val="Heading2"/>
      </w:pPr>
      <w:r w:rsidRPr="00E35988">
        <w:t>Missing data</w:t>
      </w:r>
    </w:p>
    <w:p w14:paraId="4D3CB677" w14:textId="77777777" w:rsidR="009E2148" w:rsidRPr="00E35988" w:rsidRDefault="009E2148" w:rsidP="008F261B">
      <w:pPr>
        <w:rPr>
          <w:b/>
        </w:rPr>
      </w:pPr>
      <w:r w:rsidRPr="00E35988">
        <w:t xml:space="preserve">We will only take participants into account who completed the </w:t>
      </w:r>
      <w:r>
        <w:t>(mandatory)</w:t>
      </w:r>
      <w:r w:rsidRPr="00E35988">
        <w:t xml:space="preserve"> baseline questionnaire and at least once filled out the happiness question in subsequent waves. Depending on the trade-off between the number of timepoints and the number of participants, we might exclude more people with a lot of missing variables on happiness. In that </w:t>
      </w:r>
      <w:proofErr w:type="gramStart"/>
      <w:r w:rsidRPr="00E35988">
        <w:t>case</w:t>
      </w:r>
      <w:proofErr w:type="gramEnd"/>
      <w:r w:rsidRPr="00E35988">
        <w:t xml:space="preserve"> we will also do a robustness check with the full sample. For example, the cut-off point will differ if only two participants replied to less than half of the questionnaires, or if this holds for more than half of all participants.</w:t>
      </w:r>
    </w:p>
    <w:p w14:paraId="2D30D29E" w14:textId="77777777" w:rsidR="009E2148" w:rsidRPr="00E35988" w:rsidRDefault="009E2148" w:rsidP="008F261B">
      <w:r w:rsidRPr="00E35988">
        <w:t xml:space="preserve">We will only include the variable “Living with” if people answer consistently over different waves, otherwise this will be set to missing. </w:t>
      </w:r>
    </w:p>
    <w:p w14:paraId="161D4143" w14:textId="327D74C8" w:rsidR="00106BFA" w:rsidRPr="00F556AF" w:rsidRDefault="00106BFA" w:rsidP="005739C1">
      <w:r w:rsidRPr="00E35988">
        <w:t xml:space="preserve">We will include as many measurements as possible, but will provide robustness checks with complete data. </w:t>
      </w:r>
    </w:p>
    <w:p w14:paraId="5C42491C" w14:textId="5EF22BC7" w:rsidR="00106BFA" w:rsidRPr="00106BFA" w:rsidRDefault="00106BFA" w:rsidP="005739C1">
      <w:pPr>
        <w:pStyle w:val="Heading2"/>
      </w:pPr>
      <w:r w:rsidRPr="00106BFA">
        <w:t>Analytical strategy</w:t>
      </w:r>
    </w:p>
    <w:p w14:paraId="51D0BA0A" w14:textId="45A4BF0E" w:rsidR="00106BFA" w:rsidRPr="00E35988" w:rsidRDefault="00106BFA" w:rsidP="008F261B">
      <w:pPr>
        <w:rPr>
          <w:i/>
        </w:rPr>
      </w:pPr>
      <w:r w:rsidRPr="00E35988">
        <w:t xml:space="preserve">We first investigate the associations between demographics, social and personal resources, and happiness. We also perform a multi-level analysis with all variables predicting happiness, to examine how these variables associate with happiness in general and to check for between-country differences in happiness. We will use country as level </w:t>
      </w:r>
      <w:proofErr w:type="gramStart"/>
      <w:r w:rsidRPr="00E35988">
        <w:t>3</w:t>
      </w:r>
      <w:proofErr w:type="gramEnd"/>
      <w:r w:rsidRPr="00E35988">
        <w:t xml:space="preserve"> predictor, individual characteristics as level 2 predictor, and </w:t>
      </w:r>
      <w:r>
        <w:t>time-variant variables as level 1 predictors (</w:t>
      </w:r>
      <w:r w:rsidRPr="00E35988">
        <w:t xml:space="preserve">we will use the time point measurements from the same </w:t>
      </w:r>
      <w:r w:rsidRPr="00E35988">
        <w:lastRenderedPageBreak/>
        <w:t>weeks when happiness was measured</w:t>
      </w:r>
      <w:r>
        <w:t>)</w:t>
      </w:r>
      <w:r w:rsidRPr="00E35988">
        <w:t>. We will also include the average scores of the time</w:t>
      </w:r>
      <w:r>
        <w:t>-variant</w:t>
      </w:r>
      <w:r w:rsidRPr="00E35988">
        <w:t xml:space="preserve"> measurements per person as predictors at level </w:t>
      </w:r>
      <w:proofErr w:type="gramStart"/>
      <w:r w:rsidRPr="00E35988">
        <w:t>2</w:t>
      </w:r>
      <w:proofErr w:type="gramEnd"/>
      <w:r w:rsidRPr="00E35988">
        <w:t xml:space="preserve">. </w:t>
      </w:r>
    </w:p>
    <w:p w14:paraId="4F7E010D" w14:textId="77777777" w:rsidR="00106BFA" w:rsidRPr="00E35988" w:rsidRDefault="00106BFA" w:rsidP="008F261B">
      <w:r w:rsidRPr="00E35988">
        <w:t xml:space="preserve">To answer our research questions, we perform growth mixture modelling with happiness as the outcome variable, to distinguish different happiness trajectories. We will use the measurements from the same weeks when happiness was measured as level </w:t>
      </w:r>
      <w:proofErr w:type="gramStart"/>
      <w:r w:rsidRPr="00E35988">
        <w:t>1</w:t>
      </w:r>
      <w:proofErr w:type="gramEnd"/>
      <w:r w:rsidRPr="00E35988">
        <w:t xml:space="preserve"> predictors, and also include the average scores of the measurements per person as predictors at level 2. We link the demographics, subjective personal characteristics, and the social interaction variables to the different trajectories by including them as predictors. </w:t>
      </w:r>
    </w:p>
    <w:p w14:paraId="2FFB2D62" w14:textId="77777777" w:rsidR="00106BFA" w:rsidRPr="00E35988" w:rsidRDefault="00106BFA" w:rsidP="008F261B">
      <w:r w:rsidRPr="00E35988">
        <w:t>We will use a latent basis growth model, this model allows for great flexibility in characterizing nonlinear patterns or shapes of change over time (Ram &amp; Grimm, 2013). This method classifies individuals into classes based on similar patterns of responses. We will compute models for several different numbers of latent trajectories. To choose the final number of latent classes we will consider the fit of different growth mixture models on the Bayesian Information Criterion (BIC), Sample-Size Adjusted Bayesian Information Criterion (SSA-BIC), and Entropy. Among the information criteria, BIC is generally preferred (</w:t>
      </w:r>
      <w:proofErr w:type="spellStart"/>
      <w:r w:rsidRPr="00E35988">
        <w:t>Nylund</w:t>
      </w:r>
      <w:proofErr w:type="spellEnd"/>
      <w:r w:rsidRPr="00E35988">
        <w:t xml:space="preserve">, </w:t>
      </w:r>
      <w:proofErr w:type="spellStart"/>
      <w:r w:rsidRPr="00E35988">
        <w:t>Asparouhov</w:t>
      </w:r>
      <w:proofErr w:type="spellEnd"/>
      <w:r w:rsidRPr="00E35988">
        <w:t xml:space="preserve">, &amp; </w:t>
      </w:r>
      <w:proofErr w:type="spellStart"/>
      <w:r w:rsidRPr="00E35988">
        <w:t>Muthén</w:t>
      </w:r>
      <w:proofErr w:type="spellEnd"/>
      <w:r w:rsidRPr="00E35988">
        <w:t xml:space="preserve">, 2007), and lower values on BIC indicate a better model fit. Entropy represents the quality of classification of individuals into latent classes. Entropy values can range from </w:t>
      </w:r>
      <w:proofErr w:type="gramStart"/>
      <w:r w:rsidRPr="00E35988">
        <w:t>0</w:t>
      </w:r>
      <w:proofErr w:type="gramEnd"/>
      <w:r w:rsidRPr="00E35988">
        <w:t xml:space="preserve"> to 1, with higher scores indicating greater classification accuracy (Ram &amp; Grimm, 2009).</w:t>
      </w:r>
      <w:r>
        <w:t xml:space="preserve"> We are interested in latent classes that include at least 5% of participants. </w:t>
      </w:r>
      <w:r w:rsidRPr="00E35988">
        <w:t xml:space="preserve">We will also consider the interpretability and robustness of the latent classes in choosing the final number of components/latent classes. </w:t>
      </w:r>
    </w:p>
    <w:p w14:paraId="5208E463" w14:textId="77777777" w:rsidR="00106BFA" w:rsidRPr="00E35988" w:rsidRDefault="00106BFA" w:rsidP="008F261B">
      <w:r w:rsidRPr="00E35988">
        <w:t xml:space="preserve">Missing data imputation: In our maximum likelihood approach to growth mixture modeling, missing data on the outcome variable </w:t>
      </w:r>
      <w:proofErr w:type="gramStart"/>
      <w:r w:rsidRPr="00E35988">
        <w:t>are accommodated</w:t>
      </w:r>
      <w:proofErr w:type="gramEnd"/>
      <w:r w:rsidRPr="00E35988">
        <w:t xml:space="preserve"> using full information maximum likelihood under missing at random assumptions (Little &amp; Rubin, 1987).</w:t>
      </w:r>
    </w:p>
    <w:p w14:paraId="3A2E975C" w14:textId="223E0770" w:rsidR="00106BFA" w:rsidRDefault="00106BFA" w:rsidP="008F261B">
      <w:pPr>
        <w:rPr>
          <w:i/>
        </w:rPr>
      </w:pPr>
      <w:r w:rsidRPr="00E35988">
        <w:lastRenderedPageBreak/>
        <w:t xml:space="preserve">We include the countries as known classes in the growth mixture modelling. We then use the known classes (the countries) as predictors for people's latent class membership and </w:t>
      </w:r>
      <w:proofErr w:type="gramStart"/>
      <w:r w:rsidRPr="00E35988">
        <w:t>potentially also</w:t>
      </w:r>
      <w:proofErr w:type="gramEnd"/>
      <w:r w:rsidRPr="00E35988">
        <w:t xml:space="preserve"> let coefficients vary across countries (or constrain all coefficients to be equal across countries and only differ across latent classes). We could then also test whether latent class membership differs across countries</w:t>
      </w:r>
      <w:r w:rsidRPr="00E35988">
        <w:rPr>
          <w:i/>
        </w:rPr>
        <w:t xml:space="preserve">. </w:t>
      </w:r>
    </w:p>
    <w:p w14:paraId="3E658D08" w14:textId="77777777" w:rsidR="00106BFA" w:rsidRPr="00E35988" w:rsidRDefault="00106BFA" w:rsidP="005739C1">
      <w:pPr>
        <w:pStyle w:val="Heading2"/>
      </w:pPr>
      <w:r>
        <w:t>Robustness checks</w:t>
      </w:r>
    </w:p>
    <w:p w14:paraId="79EEA016" w14:textId="77777777" w:rsidR="009E2148" w:rsidRPr="00E35988" w:rsidRDefault="009E2148" w:rsidP="008F261B">
      <w:proofErr w:type="gramStart"/>
      <w:r w:rsidRPr="00E35988">
        <w:t>First</w:t>
      </w:r>
      <w:proofErr w:type="gramEnd"/>
      <w:r w:rsidRPr="00E35988">
        <w:t xml:space="preserve"> we will check to what extent the respondents of the subsample (weekly surveys) are comparable to the whole sample (baseline). </w:t>
      </w:r>
    </w:p>
    <w:p w14:paraId="5280618E" w14:textId="77777777" w:rsidR="009E2148" w:rsidRPr="00E35988" w:rsidRDefault="009E2148" w:rsidP="008F261B">
      <w:r w:rsidRPr="00E35988">
        <w:t>Next, we will perform a robustness check with only participants who filled out all the questionnaires of all waves, robustness checks without outliers.</w:t>
      </w:r>
    </w:p>
    <w:p w14:paraId="40B016C0" w14:textId="74CC8D86" w:rsidR="00106BFA" w:rsidRPr="009E2148" w:rsidRDefault="009E2148" w:rsidP="008F261B">
      <w:pPr>
        <w:rPr>
          <w:u w:val="single"/>
        </w:rPr>
      </w:pPr>
      <w:r w:rsidRPr="00E35988">
        <w:t xml:space="preserve">Based on the results, we will likely zoom in on specific countries to get more insights into the results. </w:t>
      </w:r>
    </w:p>
    <w:p w14:paraId="287185C1" w14:textId="087CA242" w:rsidR="00106BFA" w:rsidRPr="00E35988" w:rsidRDefault="00106BFA" w:rsidP="005739C1">
      <w:pPr>
        <w:pStyle w:val="Heading2"/>
      </w:pPr>
      <w:r w:rsidRPr="00E35988">
        <w:t>Minimum effect size of interest</w:t>
      </w:r>
    </w:p>
    <w:p w14:paraId="26251515" w14:textId="5D56B0D6" w:rsidR="00106BFA" w:rsidRDefault="00106BFA" w:rsidP="008F261B">
      <w:r w:rsidRPr="00E35988">
        <w:t>We classif</w:t>
      </w:r>
      <w:r w:rsidR="009E2148">
        <w:t>ied</w:t>
      </w:r>
      <w:r w:rsidRPr="00E35988">
        <w:t xml:space="preserve"> correlations (r) as very weak if between .00 and .29, weak between .30 and .49, moderate between .50 and .69, strong between .70 and .89, and very strong from .90 onwards (</w:t>
      </w:r>
      <w:proofErr w:type="spellStart"/>
      <w:r w:rsidRPr="00E35988">
        <w:t>Mukaka</w:t>
      </w:r>
      <w:proofErr w:type="spellEnd"/>
      <w:r w:rsidRPr="00E35988">
        <w:t xml:space="preserve">, 2012). </w:t>
      </w:r>
    </w:p>
    <w:p w14:paraId="61CADF40" w14:textId="7ED744DB" w:rsidR="009E2148" w:rsidRDefault="009E2148" w:rsidP="008F261B">
      <w:r w:rsidRPr="00E35988">
        <w:t xml:space="preserve">Only estimates with alpha levels below .01 </w:t>
      </w:r>
      <w:proofErr w:type="gramStart"/>
      <w:r w:rsidRPr="00E35988">
        <w:t>will be interpreted</w:t>
      </w:r>
      <w:proofErr w:type="gramEnd"/>
      <w:r w:rsidRPr="00E35988">
        <w:t xml:space="preserve"> as significant in the regression analyses to avoid type I errors. A more conservative alpha level </w:t>
      </w:r>
      <w:proofErr w:type="gramStart"/>
      <w:r w:rsidRPr="00E35988">
        <w:t>is recommended</w:t>
      </w:r>
      <w:proofErr w:type="gramEnd"/>
      <w:r w:rsidRPr="00E35988">
        <w:t xml:space="preserve"> in evaluating the results of novel studies (Benjamin et al., 2018). </w:t>
      </w:r>
    </w:p>
    <w:p w14:paraId="2379913A" w14:textId="6B91D340" w:rsidR="009E2148" w:rsidRPr="009E2148" w:rsidRDefault="009E2148" w:rsidP="008F261B">
      <w:pPr>
        <w:rPr>
          <w:rFonts w:eastAsia="Roboto"/>
          <w:color w:val="3C4043"/>
          <w:sz w:val="21"/>
          <w:szCs w:val="21"/>
          <w:highlight w:val="white"/>
        </w:rPr>
      </w:pPr>
      <w:r>
        <w:t>T</w:t>
      </w:r>
      <w:r w:rsidRPr="00E35988">
        <w:t xml:space="preserve">he best-fitting model </w:t>
      </w:r>
      <w:proofErr w:type="gramStart"/>
      <w:r w:rsidRPr="00E35988">
        <w:t>will be chosen</w:t>
      </w:r>
      <w:proofErr w:type="gramEnd"/>
      <w:r w:rsidRPr="00E35988">
        <w:t xml:space="preserve"> by comparing the fit of different growth mixture models on the Bayesian Information Criterion (BIC), Sample-Size Adjusted Bayesian Information Criterion (SSA-BIC), and Entropy. We will also consider the interpretability and robustness of the latent classes. </w:t>
      </w:r>
    </w:p>
    <w:p w14:paraId="77A6838B" w14:textId="77777777" w:rsidR="00106BFA" w:rsidRPr="00E35988" w:rsidRDefault="00106BFA" w:rsidP="008F261B">
      <w:r w:rsidRPr="00E35988">
        <w:t xml:space="preserve">As we expect changes in well-being over time, we need </w:t>
      </w:r>
      <w:commentRangeStart w:id="3"/>
      <w:r w:rsidRPr="00E35988">
        <w:t xml:space="preserve">some within-person variation </w:t>
      </w:r>
      <w:commentRangeEnd w:id="3"/>
      <w:r w:rsidR="009E2148">
        <w:rPr>
          <w:rStyle w:val="CommentReference"/>
        </w:rPr>
        <w:commentReference w:id="3"/>
      </w:r>
      <w:r w:rsidRPr="00E35988">
        <w:t xml:space="preserve">in the happiness measure in order to use this variable to answer our research questions. Happiness </w:t>
      </w:r>
      <w:proofErr w:type="gramStart"/>
      <w:r w:rsidRPr="00E35988">
        <w:t>is asked</w:t>
      </w:r>
      <w:proofErr w:type="gramEnd"/>
      <w:r w:rsidRPr="00E35988">
        <w:t xml:space="preserve"> in </w:t>
      </w:r>
      <w:r w:rsidRPr="00E35988">
        <w:lastRenderedPageBreak/>
        <w:t>a general way, still there are reasons to believe that the answer will differ within a few weeks. Happiness can change quite dramatically over time, especially if life-situations change (Fordyce, 1988).</w:t>
      </w:r>
    </w:p>
    <w:p w14:paraId="4A115F2F" w14:textId="535CAF6D" w:rsidR="00106BFA" w:rsidRDefault="00106BFA" w:rsidP="008F261B">
      <w:r w:rsidRPr="00E35988">
        <w:t xml:space="preserve">Happiness is measured on a 10-point scale from </w:t>
      </w:r>
      <w:proofErr w:type="gramStart"/>
      <w:r w:rsidRPr="00E35988">
        <w:t>1</w:t>
      </w:r>
      <w:proofErr w:type="gramEnd"/>
      <w:r w:rsidRPr="00E35988">
        <w:t xml:space="preserve"> to 10, thus if people always fill out a 6, for example, this is seen as no variance. When someone answers a 6 in one wave, but a </w:t>
      </w:r>
      <w:proofErr w:type="gramStart"/>
      <w:r w:rsidRPr="00E35988">
        <w:t>7</w:t>
      </w:r>
      <w:proofErr w:type="gramEnd"/>
      <w:r w:rsidRPr="00E35988">
        <w:t xml:space="preserve"> in another wave, we consider this as </w:t>
      </w:r>
      <w:commentRangeStart w:id="4"/>
      <w:r w:rsidRPr="00E35988">
        <w:t xml:space="preserve">meaningful variance </w:t>
      </w:r>
      <w:commentRangeEnd w:id="4"/>
      <w:r w:rsidR="009E2148">
        <w:rPr>
          <w:rStyle w:val="CommentReference"/>
        </w:rPr>
        <w:commentReference w:id="4"/>
      </w:r>
      <w:r w:rsidRPr="00E35988">
        <w:t xml:space="preserve">in the happiness measure. </w:t>
      </w:r>
    </w:p>
    <w:p w14:paraId="25C2DB17" w14:textId="3F59FCD7" w:rsidR="009E2148" w:rsidRPr="00E35988" w:rsidRDefault="009E2148" w:rsidP="008F261B">
      <w:r w:rsidRPr="00E35988">
        <w:t xml:space="preserve">If the skewed distribution of happiness causes problems in the analyses (which we do not expect), we will consider robustness checks with the scores 0-4 in one category “&lt;5”. </w:t>
      </w:r>
    </w:p>
    <w:p w14:paraId="43A32FAD" w14:textId="55FA817E" w:rsidR="00106BFA" w:rsidRPr="00E35988" w:rsidRDefault="00106BFA" w:rsidP="008F261B">
      <w:r w:rsidRPr="00E35988">
        <w:t>Statistical power</w:t>
      </w:r>
    </w:p>
    <w:p w14:paraId="6668DC3B" w14:textId="77777777" w:rsidR="00106BFA" w:rsidRPr="00E35988" w:rsidRDefault="00106BFA" w:rsidP="008F261B">
      <w:pPr>
        <w:rPr>
          <w:rFonts w:eastAsia="Verdana"/>
          <w:color w:val="222222"/>
        </w:rPr>
      </w:pPr>
      <w:r w:rsidRPr="00E35988">
        <w:t xml:space="preserve">In growth mixture models, the accuracy of parameter and standard error estimates, and estimates of the number of mixture components </w:t>
      </w:r>
      <w:proofErr w:type="gramStart"/>
      <w:r w:rsidRPr="00E35988">
        <w:t>is influenced</w:t>
      </w:r>
      <w:proofErr w:type="gramEnd"/>
      <w:r w:rsidRPr="00E35988">
        <w:t xml:space="preserve"> by the true mixing ratios, residual structures, and the proportion of the total variance of the outcome that is explained by the covariates -- these properties are unknown a priori.</w:t>
      </w:r>
    </w:p>
    <w:p w14:paraId="5FD5C236" w14:textId="77777777" w:rsidR="00106BFA" w:rsidRPr="00E35988" w:rsidRDefault="00106BFA" w:rsidP="008F261B">
      <w:r w:rsidRPr="00E35988">
        <w:t xml:space="preserve">Luckily, </w:t>
      </w:r>
      <w:proofErr w:type="gramStart"/>
      <w:r w:rsidRPr="00E35988">
        <w:t>these accuracies are mostly influenced by the number of individuals and the number of occasions (Diallo et al., 2017)</w:t>
      </w:r>
      <w:proofErr w:type="gramEnd"/>
      <w:r w:rsidRPr="00E35988">
        <w:t>. With about 5000 participants and a number of occasions equal to 13 our study has high accuracy with regard to estimates of parameters, standard errors, and number of mixture components over a wide range of potential mixing ratios, residual structures, and proportions of the total variance of the repeated measures explained by the covariates (Diallo et al., 2017).</w:t>
      </w:r>
    </w:p>
    <w:p w14:paraId="37F57CCA" w14:textId="665E55AC" w:rsidR="00106BFA" w:rsidRDefault="00106BFA" w:rsidP="008F261B"/>
    <w:p w14:paraId="4C099B66" w14:textId="279B71D2" w:rsidR="009E2148" w:rsidRDefault="009E2148" w:rsidP="008F261B"/>
    <w:p w14:paraId="116A4FFF" w14:textId="368BA0C9" w:rsidR="009E2148" w:rsidRDefault="009E2148" w:rsidP="008F261B"/>
    <w:p w14:paraId="25A40CDF" w14:textId="544607C1" w:rsidR="009E2148" w:rsidRDefault="009E2148" w:rsidP="005739C1">
      <w:pPr>
        <w:pStyle w:val="Heading1"/>
        <w:rPr>
          <w:u w:val="single"/>
        </w:rPr>
      </w:pPr>
      <w:r>
        <w:t>Results</w:t>
      </w:r>
    </w:p>
    <w:p w14:paraId="3A417034" w14:textId="77777777" w:rsidR="00106BFA" w:rsidRDefault="00106BFA" w:rsidP="008F261B">
      <w:r>
        <w:br w:type="page"/>
      </w:r>
    </w:p>
    <w:p w14:paraId="7CC72C9F" w14:textId="37A7C51B" w:rsidR="00106BFA" w:rsidRPr="007602A5" w:rsidRDefault="00106BFA" w:rsidP="008F261B">
      <w:pPr>
        <w:pStyle w:val="Heading1"/>
      </w:pPr>
      <w:r w:rsidRPr="007602A5">
        <w:lastRenderedPageBreak/>
        <w:t>References</w:t>
      </w:r>
    </w:p>
    <w:p w14:paraId="0007D36A" w14:textId="68F5F8AD" w:rsidR="00106BFA" w:rsidRPr="00E35988" w:rsidRDefault="00106BFA" w:rsidP="008F261B">
      <w:pPr>
        <w:pStyle w:val="Referenties"/>
        <w:rPr>
          <w:rFonts w:eastAsia="Arial"/>
          <w:color w:val="222222"/>
          <w:highlight w:val="white"/>
        </w:rPr>
      </w:pPr>
      <w:r w:rsidRPr="00E35988">
        <w:t>Adams-</w:t>
      </w:r>
      <w:proofErr w:type="spellStart"/>
      <w:r w:rsidRPr="00E35988">
        <w:t>Prassl</w:t>
      </w:r>
      <w:proofErr w:type="spellEnd"/>
      <w:r w:rsidRPr="00E35988">
        <w:t xml:space="preserve">, A., </w:t>
      </w:r>
      <w:proofErr w:type="spellStart"/>
      <w:r w:rsidRPr="00E35988">
        <w:t>Boneva</w:t>
      </w:r>
      <w:proofErr w:type="spellEnd"/>
      <w:r w:rsidRPr="00E35988">
        <w:t xml:space="preserve">, T., </w:t>
      </w:r>
      <w:proofErr w:type="spellStart"/>
      <w:r w:rsidRPr="00E35988">
        <w:t>Golin</w:t>
      </w:r>
      <w:proofErr w:type="spellEnd"/>
      <w:r w:rsidRPr="00E35988">
        <w:t xml:space="preserve">, M. &amp; </w:t>
      </w:r>
      <w:proofErr w:type="spellStart"/>
      <w:r w:rsidRPr="00E35988">
        <w:t>Rauh</w:t>
      </w:r>
      <w:proofErr w:type="spellEnd"/>
      <w:r w:rsidRPr="00E35988">
        <w:t>, C. (2020). Inequality in the impact of the coronavirus shock: Evidence from real time surveys.</w:t>
      </w:r>
      <w:r w:rsidRPr="00E35988">
        <w:rPr>
          <w:i/>
        </w:rPr>
        <w:t xml:space="preserve"> Journal of Public Economics, 189</w:t>
      </w:r>
      <w:r w:rsidRPr="00E35988">
        <w:rPr>
          <w:rFonts w:eastAsia="Arial"/>
          <w:color w:val="222222"/>
          <w:highlight w:val="white"/>
        </w:rPr>
        <w:t>, 1</w:t>
      </w:r>
      <w:r w:rsidRPr="00E35988">
        <w:t>04245.</w:t>
      </w:r>
      <w:r w:rsidR="007602A5">
        <w:t xml:space="preserve"> </w:t>
      </w:r>
      <w:hyperlink r:id="rId11" w:history="1">
        <w:r w:rsidR="007602A5" w:rsidRPr="00753ECE">
          <w:rPr>
            <w:rStyle w:val="Hyperlink"/>
            <w:shd w:val="clear" w:color="auto" w:fill="FCFCFC"/>
          </w:rPr>
          <w:t>https://doi.org/10.1016/j.jpubeco.2020.104245</w:t>
        </w:r>
      </w:hyperlink>
    </w:p>
    <w:p w14:paraId="47464287" w14:textId="12E072E1" w:rsidR="00106BFA" w:rsidRPr="00E35988" w:rsidRDefault="00106BFA" w:rsidP="008F261B">
      <w:pPr>
        <w:pStyle w:val="Referenties"/>
      </w:pPr>
      <w:r w:rsidRPr="00E35988">
        <w:t xml:space="preserve">Andersen, L. H., </w:t>
      </w:r>
      <w:proofErr w:type="spellStart"/>
      <w:r w:rsidRPr="00E35988">
        <w:t>Fallesen</w:t>
      </w:r>
      <w:proofErr w:type="spellEnd"/>
      <w:r w:rsidRPr="00E35988">
        <w:t>, P., &amp; Bruckner, T. A. (2020). Risk of Stress/Depression and Functional Impairment in Denmark Immediately Following a COVID-19 Shutdown. </w:t>
      </w:r>
      <w:r w:rsidRPr="00E35988">
        <w:rPr>
          <w:i/>
          <w:iCs/>
        </w:rPr>
        <w:t>Preprint.</w:t>
      </w:r>
      <w:r w:rsidRPr="00E35988">
        <w:t xml:space="preserve"> </w:t>
      </w:r>
      <w:proofErr w:type="spellStart"/>
      <w:r w:rsidRPr="00E35988">
        <w:t>MedRxiv</w:t>
      </w:r>
      <w:proofErr w:type="spellEnd"/>
      <w:r w:rsidRPr="00E35988">
        <w:t xml:space="preserve">. </w:t>
      </w:r>
      <w:hyperlink r:id="rId12" w:history="1">
        <w:r w:rsidR="007602A5" w:rsidRPr="00753ECE">
          <w:rPr>
            <w:rStyle w:val="Hyperlink"/>
          </w:rPr>
          <w:t>https://doi.org/10.1101/2020.12.15.20248251</w:t>
        </w:r>
      </w:hyperlink>
      <w:r w:rsidR="007602A5">
        <w:rPr>
          <w:u w:val="single"/>
        </w:rPr>
        <w:t xml:space="preserve"> </w:t>
      </w:r>
    </w:p>
    <w:p w14:paraId="6D7317A6" w14:textId="51B4B297" w:rsidR="00106BFA" w:rsidRPr="00E35988" w:rsidRDefault="00106BFA" w:rsidP="008F261B">
      <w:pPr>
        <w:pStyle w:val="Referenties"/>
      </w:pPr>
      <w:r w:rsidRPr="00E35988">
        <w:t xml:space="preserve">Aron, E. N., Aron, A., &amp; </w:t>
      </w:r>
      <w:proofErr w:type="spellStart"/>
      <w:r w:rsidRPr="00E35988">
        <w:t>Jagiellowicz</w:t>
      </w:r>
      <w:proofErr w:type="spellEnd"/>
      <w:r w:rsidRPr="00E35988">
        <w:t>, J. (2012). Sensory processing sensitivity: A review in the light of the evolution of biological responsivity. P</w:t>
      </w:r>
      <w:r w:rsidRPr="00E35988">
        <w:rPr>
          <w:i/>
          <w:iCs/>
        </w:rPr>
        <w:t>ersonality and Social Psychology Review, 16</w:t>
      </w:r>
      <w:r w:rsidRPr="00E35988">
        <w:t xml:space="preserve">(3), 262-282. </w:t>
      </w:r>
      <w:r w:rsidRPr="007602A5">
        <w:rPr>
          <w:rStyle w:val="Hyperlink"/>
        </w:rPr>
        <w:t>http://doi.org/</w:t>
      </w:r>
      <w:hyperlink r:id="rId13" w:tgtFrame="_blank" w:history="1">
        <w:r w:rsidRPr="007602A5">
          <w:rPr>
            <w:rStyle w:val="Hyperlink"/>
          </w:rPr>
          <w:t>10.1177/108886831143421</w:t>
        </w:r>
      </w:hyperlink>
      <w:r w:rsidR="007602A5" w:rsidRPr="007602A5">
        <w:rPr>
          <w:rStyle w:val="Hyperlink"/>
        </w:rPr>
        <w:t>3</w:t>
      </w:r>
      <w:r w:rsidR="007602A5">
        <w:rPr>
          <w:u w:val="single"/>
        </w:rPr>
        <w:t xml:space="preserve">  </w:t>
      </w:r>
    </w:p>
    <w:p w14:paraId="735F2447" w14:textId="226733E2" w:rsidR="00106BFA" w:rsidRPr="00E35988" w:rsidRDefault="00106BFA" w:rsidP="008F261B">
      <w:pPr>
        <w:pStyle w:val="Referenties"/>
      </w:pPr>
      <w:proofErr w:type="spellStart"/>
      <w:r w:rsidRPr="00E35988">
        <w:t>Atzendorf</w:t>
      </w:r>
      <w:proofErr w:type="spellEnd"/>
      <w:r w:rsidRPr="00E35988">
        <w:t>, J. and S. Gruber (2021): </w:t>
      </w:r>
      <w:hyperlink r:id="rId14" w:tgtFrame="_blank" w:history="1">
        <w:r w:rsidRPr="00E35988">
          <w:t>The Mental Well-being of Older Adults after the First Wave of COVID-19</w:t>
        </w:r>
      </w:hyperlink>
      <w:r w:rsidRPr="00E35988">
        <w:t xml:space="preserve">. </w:t>
      </w:r>
      <w:r w:rsidRPr="00E35988">
        <w:rPr>
          <w:i/>
          <w:iCs/>
        </w:rPr>
        <w:t>SHARE Working Paper Series</w:t>
      </w:r>
      <w:r w:rsidRPr="00E35988">
        <w:t xml:space="preserve"> 63-2021. Munich Center for the Economics of Aging (MEA). </w:t>
      </w:r>
      <w:hyperlink r:id="rId15" w:history="1">
        <w:r w:rsidR="007602A5" w:rsidRPr="00753ECE">
          <w:rPr>
            <w:rStyle w:val="Hyperlink"/>
          </w:rPr>
          <w:t>http://doi.org/10.17617/2.329288</w:t>
        </w:r>
      </w:hyperlink>
      <w:r w:rsidR="007602A5">
        <w:rPr>
          <w:u w:val="single"/>
        </w:rPr>
        <w:t xml:space="preserve"> </w:t>
      </w:r>
    </w:p>
    <w:p w14:paraId="23FFA411" w14:textId="536BD920" w:rsidR="00106BFA" w:rsidRPr="00C04B7D" w:rsidRDefault="00106BFA" w:rsidP="008F261B">
      <w:pPr>
        <w:pStyle w:val="Referenties"/>
        <w:rPr>
          <w:highlight w:val="white"/>
        </w:rPr>
      </w:pPr>
      <w:r w:rsidRPr="00E35988">
        <w:rPr>
          <w:highlight w:val="white"/>
        </w:rPr>
        <w:t xml:space="preserve">Barrett, A. M., </w:t>
      </w:r>
      <w:proofErr w:type="spellStart"/>
      <w:r w:rsidRPr="00E35988">
        <w:rPr>
          <w:highlight w:val="white"/>
        </w:rPr>
        <w:t>Hogreve</w:t>
      </w:r>
      <w:proofErr w:type="spellEnd"/>
      <w:r w:rsidRPr="00E35988">
        <w:rPr>
          <w:highlight w:val="white"/>
        </w:rPr>
        <w:t xml:space="preserve">, J., &amp; </w:t>
      </w:r>
      <w:proofErr w:type="spellStart"/>
      <w:r w:rsidRPr="00E35988">
        <w:rPr>
          <w:highlight w:val="white"/>
        </w:rPr>
        <w:t>Brüggen</w:t>
      </w:r>
      <w:proofErr w:type="spellEnd"/>
      <w:r w:rsidRPr="00E35988">
        <w:rPr>
          <w:highlight w:val="white"/>
        </w:rPr>
        <w:t xml:space="preserve">, E. C. (2021). Coping with governmental restrictions: The relationship between stay-at-home orders, resilience, and functional, social, mental, physical, and financial well-being. </w:t>
      </w:r>
      <w:r w:rsidRPr="00C04B7D">
        <w:rPr>
          <w:i/>
          <w:highlight w:val="white"/>
        </w:rPr>
        <w:t>Frontiers in Psychology, 11,</w:t>
      </w:r>
      <w:r w:rsidRPr="00C04B7D">
        <w:rPr>
          <w:highlight w:val="white"/>
        </w:rPr>
        <w:t xml:space="preserve"> 3996. </w:t>
      </w:r>
      <w:hyperlink r:id="rId16" w:history="1">
        <w:r w:rsidR="007602A5" w:rsidRPr="00753ECE">
          <w:rPr>
            <w:rStyle w:val="Hyperlink"/>
          </w:rPr>
          <w:t>https://doi.org/10.3389/fpsyg.2020.577972</w:t>
        </w:r>
      </w:hyperlink>
      <w:r w:rsidR="007602A5">
        <w:rPr>
          <w:u w:val="single"/>
        </w:rPr>
        <w:t xml:space="preserve"> </w:t>
      </w:r>
      <w:r w:rsidRPr="00C04B7D">
        <w:rPr>
          <w:highlight w:val="white"/>
        </w:rPr>
        <w:t xml:space="preserve"> </w:t>
      </w:r>
      <w:r w:rsidR="007602A5">
        <w:rPr>
          <w:highlight w:val="white"/>
        </w:rPr>
        <w:t xml:space="preserve"> </w:t>
      </w:r>
    </w:p>
    <w:p w14:paraId="2145E5C9" w14:textId="0249366B" w:rsidR="00106BFA" w:rsidRPr="00C04B7D" w:rsidRDefault="00106BFA" w:rsidP="008F261B">
      <w:pPr>
        <w:pStyle w:val="Referenties"/>
        <w:rPr>
          <w:highlight w:val="white"/>
          <w:lang w:val="nl-NL"/>
        </w:rPr>
      </w:pPr>
      <w:r w:rsidRPr="00E35988">
        <w:rPr>
          <w:highlight w:val="white"/>
        </w:rPr>
        <w:t xml:space="preserve">Benjamin, D.J., Berger, J.O., </w:t>
      </w:r>
      <w:proofErr w:type="spellStart"/>
      <w:r w:rsidRPr="00E35988">
        <w:rPr>
          <w:highlight w:val="white"/>
        </w:rPr>
        <w:t>Johannesson</w:t>
      </w:r>
      <w:proofErr w:type="spellEnd"/>
      <w:r w:rsidRPr="00E35988">
        <w:rPr>
          <w:highlight w:val="white"/>
        </w:rPr>
        <w:t>, M., et al. (2018). Redefine statistical significance</w:t>
      </w:r>
      <w:r w:rsidRPr="00E35988">
        <w:rPr>
          <w:i/>
          <w:iCs/>
          <w:highlight w:val="white"/>
        </w:rPr>
        <w:t>. </w:t>
      </w:r>
      <w:r w:rsidRPr="008F261B">
        <w:rPr>
          <w:i/>
          <w:iCs/>
          <w:highlight w:val="white"/>
        </w:rPr>
        <w:t xml:space="preserve">Nature Human </w:t>
      </w:r>
      <w:proofErr w:type="spellStart"/>
      <w:r w:rsidRPr="008F261B">
        <w:rPr>
          <w:i/>
          <w:iCs/>
          <w:highlight w:val="white"/>
        </w:rPr>
        <w:t>Behaviour</w:t>
      </w:r>
      <w:proofErr w:type="spellEnd"/>
      <w:r w:rsidRPr="008F261B">
        <w:rPr>
          <w:i/>
          <w:iCs/>
          <w:highlight w:val="white"/>
        </w:rPr>
        <w:t>, 2</w:t>
      </w:r>
      <w:r w:rsidRPr="008F261B">
        <w:rPr>
          <w:highlight w:val="white"/>
        </w:rPr>
        <w:t xml:space="preserve">, 6-10. </w:t>
      </w:r>
      <w:hyperlink r:id="rId17" w:history="1">
        <w:r w:rsidR="007602A5" w:rsidRPr="00753ECE">
          <w:rPr>
            <w:rStyle w:val="Hyperlink"/>
            <w:highlight w:val="white"/>
            <w:lang w:val="nl-NL"/>
          </w:rPr>
          <w:t>https://doi.org/10.1038/s41562-017-0189-z</w:t>
        </w:r>
      </w:hyperlink>
      <w:r w:rsidR="007602A5">
        <w:rPr>
          <w:highlight w:val="white"/>
          <w:lang w:val="nl-NL"/>
        </w:rPr>
        <w:t xml:space="preserve"> </w:t>
      </w:r>
    </w:p>
    <w:p w14:paraId="118D200C" w14:textId="77777777" w:rsidR="00106BFA" w:rsidRPr="00E35988" w:rsidRDefault="00106BFA" w:rsidP="008F261B">
      <w:pPr>
        <w:pStyle w:val="Referenties"/>
        <w:rPr>
          <w:highlight w:val="white"/>
          <w:lang w:val="nl-NL"/>
        </w:rPr>
      </w:pPr>
      <w:r w:rsidRPr="00E35988">
        <w:rPr>
          <w:highlight w:val="white"/>
          <w:lang w:val="nl-NL"/>
        </w:rPr>
        <w:t xml:space="preserve">Bos, E. H., Snippe, E., de Jonge, P., &amp; Jeronimus, B. F. (2016). </w:t>
      </w:r>
      <w:r w:rsidRPr="00E35988">
        <w:rPr>
          <w:highlight w:val="white"/>
        </w:rPr>
        <w:t xml:space="preserve">Preserving subjective wellbeing in the face of psychopathology: buffering effects of personal strengths and resources. </w:t>
      </w:r>
      <w:proofErr w:type="spellStart"/>
      <w:r w:rsidRPr="00E35988">
        <w:rPr>
          <w:i/>
          <w:highlight w:val="white"/>
          <w:lang w:val="nl-NL"/>
        </w:rPr>
        <w:t>PloS</w:t>
      </w:r>
      <w:proofErr w:type="spellEnd"/>
      <w:r w:rsidRPr="00E35988">
        <w:rPr>
          <w:i/>
          <w:highlight w:val="white"/>
          <w:lang w:val="nl-NL"/>
        </w:rPr>
        <w:t xml:space="preserve"> </w:t>
      </w:r>
      <w:proofErr w:type="spellStart"/>
      <w:r w:rsidRPr="00E35988">
        <w:rPr>
          <w:i/>
          <w:highlight w:val="white"/>
          <w:lang w:val="nl-NL"/>
        </w:rPr>
        <w:t>One</w:t>
      </w:r>
      <w:proofErr w:type="spellEnd"/>
      <w:r w:rsidRPr="00E35988">
        <w:rPr>
          <w:highlight w:val="white"/>
          <w:lang w:val="nl-NL"/>
        </w:rPr>
        <w:t xml:space="preserve">, </w:t>
      </w:r>
      <w:r w:rsidRPr="00E35988">
        <w:rPr>
          <w:i/>
          <w:highlight w:val="white"/>
          <w:lang w:val="nl-NL"/>
        </w:rPr>
        <w:t>11</w:t>
      </w:r>
      <w:r w:rsidRPr="00E35988">
        <w:rPr>
          <w:highlight w:val="white"/>
          <w:lang w:val="nl-NL"/>
        </w:rPr>
        <w:t xml:space="preserve">(3), e0150867. </w:t>
      </w:r>
      <w:hyperlink r:id="rId18">
        <w:r w:rsidRPr="00B85446">
          <w:rPr>
            <w:rStyle w:val="Hyperlink"/>
            <w:lang w:val="nl-NL"/>
          </w:rPr>
          <w:t>https://doi.org/10.1371/journal.pone.0150867</w:t>
        </w:r>
      </w:hyperlink>
    </w:p>
    <w:p w14:paraId="6E131F88" w14:textId="60412F11" w:rsidR="00106BFA" w:rsidRPr="00E35988" w:rsidRDefault="00106BFA" w:rsidP="008F261B">
      <w:pPr>
        <w:pStyle w:val="Referenties"/>
        <w:rPr>
          <w:highlight w:val="white"/>
        </w:rPr>
      </w:pPr>
      <w:proofErr w:type="spellStart"/>
      <w:r w:rsidRPr="00E35988">
        <w:rPr>
          <w:highlight w:val="white"/>
          <w:lang w:val="nl-NL"/>
        </w:rPr>
        <w:t>Buecker</w:t>
      </w:r>
      <w:proofErr w:type="spellEnd"/>
      <w:r w:rsidRPr="00E35988">
        <w:rPr>
          <w:highlight w:val="white"/>
          <w:lang w:val="nl-NL"/>
        </w:rPr>
        <w:t xml:space="preserve">, S., </w:t>
      </w:r>
      <w:proofErr w:type="spellStart"/>
      <w:r w:rsidRPr="00E35988">
        <w:rPr>
          <w:highlight w:val="white"/>
          <w:lang w:val="nl-NL"/>
        </w:rPr>
        <w:t>Horstmann</w:t>
      </w:r>
      <w:proofErr w:type="spellEnd"/>
      <w:r w:rsidRPr="00E35988">
        <w:rPr>
          <w:highlight w:val="white"/>
          <w:lang w:val="nl-NL"/>
        </w:rPr>
        <w:t xml:space="preserve">, K. T., </w:t>
      </w:r>
      <w:proofErr w:type="spellStart"/>
      <w:r w:rsidRPr="00E35988">
        <w:rPr>
          <w:highlight w:val="white"/>
          <w:lang w:val="nl-NL"/>
        </w:rPr>
        <w:t>Krasko</w:t>
      </w:r>
      <w:proofErr w:type="spellEnd"/>
      <w:r w:rsidRPr="00E35988">
        <w:rPr>
          <w:highlight w:val="white"/>
          <w:lang w:val="nl-NL"/>
        </w:rPr>
        <w:t xml:space="preserve">, J., </w:t>
      </w:r>
      <w:proofErr w:type="spellStart"/>
      <w:r w:rsidRPr="00E35988">
        <w:rPr>
          <w:highlight w:val="white"/>
          <w:lang w:val="nl-NL"/>
        </w:rPr>
        <w:t>Kritzler</w:t>
      </w:r>
      <w:proofErr w:type="spellEnd"/>
      <w:r w:rsidRPr="00E35988">
        <w:rPr>
          <w:highlight w:val="white"/>
          <w:lang w:val="nl-NL"/>
        </w:rPr>
        <w:t xml:space="preserve">, S., Terwiel, S., Kaiser, T., &amp; </w:t>
      </w:r>
      <w:proofErr w:type="spellStart"/>
      <w:r w:rsidRPr="00E35988">
        <w:rPr>
          <w:highlight w:val="white"/>
          <w:lang w:val="nl-NL"/>
        </w:rPr>
        <w:t>Luhmann</w:t>
      </w:r>
      <w:proofErr w:type="spellEnd"/>
      <w:r w:rsidRPr="00E35988">
        <w:rPr>
          <w:highlight w:val="white"/>
          <w:lang w:val="nl-NL"/>
        </w:rPr>
        <w:t xml:space="preserve">, M. (2020). </w:t>
      </w:r>
      <w:r w:rsidRPr="00E35988">
        <w:rPr>
          <w:highlight w:val="white"/>
        </w:rPr>
        <w:t xml:space="preserve">Changes in daily loneliness for German residents during the first four weeks of the COVID-19 </w:t>
      </w:r>
      <w:r w:rsidRPr="00E35988">
        <w:rPr>
          <w:highlight w:val="white"/>
        </w:rPr>
        <w:lastRenderedPageBreak/>
        <w:t xml:space="preserve">pandemic. </w:t>
      </w:r>
      <w:r w:rsidRPr="00E35988">
        <w:rPr>
          <w:i/>
          <w:highlight w:val="white"/>
        </w:rPr>
        <w:t>Social Science &amp; Medicine</w:t>
      </w:r>
      <w:r w:rsidRPr="00E35988">
        <w:rPr>
          <w:highlight w:val="white"/>
        </w:rPr>
        <w:t xml:space="preserve">, </w:t>
      </w:r>
      <w:r w:rsidRPr="00E35988">
        <w:rPr>
          <w:i/>
          <w:highlight w:val="white"/>
        </w:rPr>
        <w:t>265</w:t>
      </w:r>
      <w:r w:rsidRPr="00E35988">
        <w:rPr>
          <w:highlight w:val="white"/>
        </w:rPr>
        <w:t xml:space="preserve">, 113541. </w:t>
      </w:r>
      <w:hyperlink r:id="rId19">
        <w:r w:rsidRPr="007602A5">
          <w:rPr>
            <w:rStyle w:val="Hyperlink"/>
          </w:rPr>
          <w:t>https://doi.org/10.1016/j.socscimed.2020.113541</w:t>
        </w:r>
      </w:hyperlink>
      <w:r w:rsidR="007602A5">
        <w:rPr>
          <w:u w:val="single"/>
          <w:shd w:val="clear" w:color="auto" w:fill="FCFCFC"/>
        </w:rPr>
        <w:t xml:space="preserve"> </w:t>
      </w:r>
    </w:p>
    <w:p w14:paraId="6EADA6EE" w14:textId="3FB78A19" w:rsidR="00106BFA" w:rsidRPr="00E35988" w:rsidRDefault="00106BFA" w:rsidP="008F261B">
      <w:pPr>
        <w:pStyle w:val="Referenties"/>
        <w:rPr>
          <w:u w:val="single"/>
        </w:rPr>
      </w:pPr>
      <w:r w:rsidRPr="00E35988">
        <w:t xml:space="preserve">Cacioppo, J. T., &amp; </w:t>
      </w:r>
      <w:proofErr w:type="spellStart"/>
      <w:r w:rsidRPr="00E35988">
        <w:t>Hawkley</w:t>
      </w:r>
      <w:proofErr w:type="spellEnd"/>
      <w:r w:rsidRPr="00E35988">
        <w:t xml:space="preserve">, L. C. (2003). Social isolation and health, with an emphasis on underlying mechanisms. Perspectives in Biology and Medicine, 46(3), S39–S52. </w:t>
      </w:r>
      <w:hyperlink r:id="rId20">
        <w:r w:rsidRPr="007602A5">
          <w:rPr>
            <w:rStyle w:val="Hyperlink"/>
          </w:rPr>
          <w:t>https://doi.org/10.1353/pbm.2003.0063</w:t>
        </w:r>
      </w:hyperlink>
      <w:r w:rsidR="007602A5">
        <w:rPr>
          <w:u w:val="single"/>
        </w:rPr>
        <w:t xml:space="preserve"> </w:t>
      </w:r>
    </w:p>
    <w:p w14:paraId="16E9E27D" w14:textId="76E2E736" w:rsidR="00106BFA" w:rsidRPr="00E35988" w:rsidRDefault="00106BFA" w:rsidP="008F261B">
      <w:pPr>
        <w:pStyle w:val="Referenties"/>
        <w:rPr>
          <w:u w:val="single"/>
        </w:rPr>
      </w:pPr>
      <w:r w:rsidRPr="00E35988">
        <w:rPr>
          <w:highlight w:val="white"/>
        </w:rPr>
        <w:t xml:space="preserve">Diallo, T.M.O., Morin, A.J.S. &amp; Lu, H. (2017). Performance of growth mixture models in the presence of time-varying covariates. Behavior Research Methods, 49(5), 1951-1965. </w:t>
      </w:r>
      <w:hyperlink r:id="rId21">
        <w:r w:rsidRPr="007602A5">
          <w:rPr>
            <w:rStyle w:val="Hyperlink"/>
          </w:rPr>
          <w:t>https://doi.org/10.3758/s13428-016-0823-0</w:t>
        </w:r>
      </w:hyperlink>
      <w:r w:rsidR="007602A5">
        <w:rPr>
          <w:u w:val="single"/>
        </w:rPr>
        <w:t xml:space="preserve"> </w:t>
      </w:r>
    </w:p>
    <w:p w14:paraId="25A289C9" w14:textId="493FA09E" w:rsidR="00106BFA" w:rsidRPr="00E35988" w:rsidRDefault="00106BFA" w:rsidP="008F261B">
      <w:pPr>
        <w:pStyle w:val="Referenties"/>
        <w:rPr>
          <w:u w:val="single"/>
        </w:rPr>
      </w:pPr>
      <w:r w:rsidRPr="00E35988">
        <w:rPr>
          <w:highlight w:val="white"/>
        </w:rPr>
        <w:t xml:space="preserve">Diener, E., Lucas, R. E., &amp; </w:t>
      </w:r>
      <w:proofErr w:type="spellStart"/>
      <w:r w:rsidRPr="00E35988">
        <w:rPr>
          <w:highlight w:val="white"/>
        </w:rPr>
        <w:t>Scollon</w:t>
      </w:r>
      <w:proofErr w:type="spellEnd"/>
      <w:r w:rsidRPr="00E35988">
        <w:rPr>
          <w:highlight w:val="white"/>
        </w:rPr>
        <w:t xml:space="preserve">, C. N. (2009). Beyond the hedonic treadmill: Revising the adaptation theory of well-being. In </w:t>
      </w:r>
      <w:r w:rsidRPr="00E35988">
        <w:rPr>
          <w:i/>
          <w:highlight w:val="white"/>
        </w:rPr>
        <w:t>The Science of Well-Being</w:t>
      </w:r>
      <w:r w:rsidRPr="00E35988">
        <w:rPr>
          <w:highlight w:val="white"/>
        </w:rPr>
        <w:t xml:space="preserve"> (pp. 103-118). Springer, Dordrecht.</w:t>
      </w:r>
      <w:r w:rsidRPr="00E35988">
        <w:rPr>
          <w:shd w:val="clear" w:color="auto" w:fill="FCFCFC"/>
        </w:rPr>
        <w:t xml:space="preserve"> </w:t>
      </w:r>
      <w:hyperlink r:id="rId22">
        <w:r w:rsidRPr="007602A5">
          <w:rPr>
            <w:rStyle w:val="Hyperlink"/>
          </w:rPr>
          <w:t>https://doi.org/10.1007/978-90-481-2350-6_5</w:t>
        </w:r>
      </w:hyperlink>
      <w:r w:rsidR="007602A5">
        <w:rPr>
          <w:u w:val="single"/>
          <w:shd w:val="clear" w:color="auto" w:fill="FCFCFC"/>
        </w:rPr>
        <w:t xml:space="preserve"> </w:t>
      </w:r>
      <w:r w:rsidRPr="00E35988">
        <w:rPr>
          <w:shd w:val="clear" w:color="auto" w:fill="FCFCFC"/>
        </w:rPr>
        <w:t xml:space="preserve"> </w:t>
      </w:r>
      <w:r w:rsidR="007602A5">
        <w:rPr>
          <w:shd w:val="clear" w:color="auto" w:fill="FCFCFC"/>
        </w:rPr>
        <w:t xml:space="preserve"> </w:t>
      </w:r>
    </w:p>
    <w:p w14:paraId="678CBC95" w14:textId="77777777" w:rsidR="00106BFA" w:rsidRPr="00E35988" w:rsidRDefault="00106BFA" w:rsidP="008F261B">
      <w:pPr>
        <w:pStyle w:val="Referenties"/>
        <w:rPr>
          <w:lang w:val="nl-NL"/>
        </w:rPr>
      </w:pPr>
      <w:proofErr w:type="spellStart"/>
      <w:r w:rsidRPr="00E35988">
        <w:rPr>
          <w:lang w:val="nl-NL"/>
        </w:rPr>
        <w:t>Diener</w:t>
      </w:r>
      <w:proofErr w:type="spellEnd"/>
      <w:r w:rsidRPr="00E35988">
        <w:rPr>
          <w:lang w:val="nl-NL"/>
        </w:rPr>
        <w:t xml:space="preserve">, E., &amp; </w:t>
      </w:r>
      <w:proofErr w:type="spellStart"/>
      <w:r w:rsidRPr="00E35988">
        <w:rPr>
          <w:lang w:val="nl-NL"/>
        </w:rPr>
        <w:t>Seligman</w:t>
      </w:r>
      <w:proofErr w:type="spellEnd"/>
      <w:r w:rsidRPr="00E35988">
        <w:rPr>
          <w:lang w:val="nl-NL"/>
        </w:rPr>
        <w:t xml:space="preserve">, M. E. P. (2002). </w:t>
      </w:r>
      <w:r w:rsidRPr="00E35988">
        <w:t xml:space="preserve">Very happy people. </w:t>
      </w:r>
      <w:r w:rsidRPr="00E35988">
        <w:rPr>
          <w:i/>
        </w:rPr>
        <w:t>Psychological Science, 13,</w:t>
      </w:r>
      <w:r w:rsidRPr="00E35988">
        <w:t xml:space="preserve"> 81–84. </w:t>
      </w:r>
      <w:hyperlink r:id="rId23">
        <w:r w:rsidRPr="00B85446">
          <w:rPr>
            <w:rStyle w:val="Hyperlink"/>
            <w:lang w:val="nl-NL"/>
          </w:rPr>
          <w:t>https://doi.org/10.1111/1467-9280.00415</w:t>
        </w:r>
      </w:hyperlink>
    </w:p>
    <w:p w14:paraId="1D2B94CB" w14:textId="275BD453" w:rsidR="00106BFA" w:rsidRPr="00E35988" w:rsidRDefault="00106BFA" w:rsidP="008F261B">
      <w:pPr>
        <w:pStyle w:val="Referenties"/>
        <w:rPr>
          <w:rFonts w:eastAsia="Arial"/>
          <w:color w:val="222222"/>
          <w:highlight w:val="white"/>
        </w:rPr>
      </w:pPr>
      <w:proofErr w:type="spellStart"/>
      <w:r w:rsidRPr="00E35988">
        <w:rPr>
          <w:lang w:val="nl-NL"/>
        </w:rPr>
        <w:t>Duckworth</w:t>
      </w:r>
      <w:proofErr w:type="spellEnd"/>
      <w:r w:rsidRPr="00E35988">
        <w:rPr>
          <w:lang w:val="nl-NL"/>
        </w:rPr>
        <w:t xml:space="preserve"> A. L., Steen T. A., </w:t>
      </w:r>
      <w:proofErr w:type="spellStart"/>
      <w:r w:rsidRPr="00E35988">
        <w:rPr>
          <w:lang w:val="nl-NL"/>
        </w:rPr>
        <w:t>Seligman</w:t>
      </w:r>
      <w:proofErr w:type="spellEnd"/>
      <w:r w:rsidRPr="00E35988">
        <w:rPr>
          <w:lang w:val="nl-NL"/>
        </w:rPr>
        <w:t xml:space="preserve"> M. E. P. (2005). </w:t>
      </w:r>
      <w:r w:rsidRPr="00E35988">
        <w:t xml:space="preserve">Positive psychology in clinical practice. </w:t>
      </w:r>
      <w:proofErr w:type="spellStart"/>
      <w:r w:rsidRPr="00E35988">
        <w:rPr>
          <w:i/>
        </w:rPr>
        <w:t>Annu</w:t>
      </w:r>
      <w:proofErr w:type="spellEnd"/>
      <w:r w:rsidRPr="00E35988">
        <w:rPr>
          <w:i/>
        </w:rPr>
        <w:t xml:space="preserve">. Rev. Clin. Psychol., 1, </w:t>
      </w:r>
      <w:r w:rsidRPr="00E35988">
        <w:t xml:space="preserve">629-651. </w:t>
      </w:r>
      <w:hyperlink r:id="rId24">
        <w:r w:rsidRPr="0071200C">
          <w:rPr>
            <w:rStyle w:val="Hyperlink"/>
          </w:rPr>
          <w:t>https://doi.org/</w:t>
        </w:r>
      </w:hyperlink>
      <w:hyperlink r:id="rId25">
        <w:r w:rsidRPr="0071200C">
          <w:rPr>
            <w:rStyle w:val="Hyperlink"/>
          </w:rPr>
          <w:t>10.1146/ANNUREV.CLINPSY.1.102803.144154</w:t>
        </w:r>
      </w:hyperlink>
      <w:r w:rsidR="0071200C">
        <w:rPr>
          <w:u w:val="single"/>
        </w:rPr>
        <w:t xml:space="preserve"> </w:t>
      </w:r>
    </w:p>
    <w:p w14:paraId="2BF80278" w14:textId="08ED333F" w:rsidR="00106BFA" w:rsidRPr="00E35988" w:rsidRDefault="00106BFA" w:rsidP="008F261B">
      <w:pPr>
        <w:pStyle w:val="Referenties"/>
        <w:rPr>
          <w:rFonts w:eastAsia="Arial"/>
          <w:color w:val="222222"/>
          <w:highlight w:val="white"/>
        </w:rPr>
      </w:pPr>
      <w:r w:rsidRPr="00E35988">
        <w:t xml:space="preserve">EHERO (2020, April 9). </w:t>
      </w:r>
      <w:r w:rsidRPr="00E35988">
        <w:rPr>
          <w:i/>
        </w:rPr>
        <w:t xml:space="preserve">Happiness during COVID-19: Dutch population less happy, especially parents and people with income insecurity. </w:t>
      </w:r>
      <w:hyperlink r:id="rId26">
        <w:r w:rsidRPr="0071200C">
          <w:rPr>
            <w:rStyle w:val="Hyperlink"/>
          </w:rPr>
          <w:t>https://www.eur.nl/en/ehero/news/happiness-during-covid-19-dutch-population-less-happy-especially-parents-and-people-income</w:t>
        </w:r>
      </w:hyperlink>
      <w:r w:rsidR="0071200C">
        <w:rPr>
          <w:u w:val="single"/>
        </w:rPr>
        <w:t xml:space="preserve"> </w:t>
      </w:r>
      <w:r w:rsidRPr="00E35988">
        <w:t xml:space="preserve"> </w:t>
      </w:r>
    </w:p>
    <w:p w14:paraId="64837D73" w14:textId="7EAC592C" w:rsidR="00106BFA" w:rsidRPr="00E35988" w:rsidRDefault="00106BFA" w:rsidP="008F261B">
      <w:pPr>
        <w:pStyle w:val="Referenties"/>
        <w:rPr>
          <w:shd w:val="clear" w:color="auto" w:fill="FCFCFC"/>
        </w:rPr>
      </w:pPr>
      <w:r w:rsidRPr="00E35988">
        <w:rPr>
          <w:highlight w:val="white"/>
        </w:rPr>
        <w:t xml:space="preserve">English, T., &amp; Carstensen, L. L. (2014). Selective narrowing of social networks across adulthood is associated with improved emotional experience in daily life. </w:t>
      </w:r>
      <w:r w:rsidRPr="00E35988">
        <w:rPr>
          <w:i/>
          <w:highlight w:val="white"/>
        </w:rPr>
        <w:t>International Journal of Behavioral Development</w:t>
      </w:r>
      <w:r w:rsidRPr="00E35988">
        <w:rPr>
          <w:highlight w:val="white"/>
        </w:rPr>
        <w:t xml:space="preserve">, </w:t>
      </w:r>
      <w:r w:rsidRPr="00E35988">
        <w:rPr>
          <w:i/>
          <w:highlight w:val="white"/>
        </w:rPr>
        <w:t>38</w:t>
      </w:r>
      <w:r w:rsidRPr="00E35988">
        <w:rPr>
          <w:highlight w:val="white"/>
        </w:rPr>
        <w:t xml:space="preserve">(2), 195-202. </w:t>
      </w:r>
      <w:hyperlink r:id="rId27">
        <w:r w:rsidRPr="0071200C">
          <w:rPr>
            <w:rStyle w:val="Hyperlink"/>
          </w:rPr>
          <w:t>https://doi.org/10.1177/0165025413515404</w:t>
        </w:r>
      </w:hyperlink>
      <w:r w:rsidR="0071200C">
        <w:rPr>
          <w:u w:val="single"/>
          <w:shd w:val="clear" w:color="auto" w:fill="FCFCFC"/>
        </w:rPr>
        <w:t xml:space="preserve"> </w:t>
      </w:r>
    </w:p>
    <w:p w14:paraId="23708609" w14:textId="77777777" w:rsidR="00106BFA" w:rsidRPr="00E35988" w:rsidRDefault="00106BFA" w:rsidP="008F261B">
      <w:pPr>
        <w:pStyle w:val="Referenties"/>
        <w:rPr>
          <w:shd w:val="clear" w:color="auto" w:fill="FCFCFC"/>
        </w:rPr>
      </w:pPr>
      <w:r w:rsidRPr="00E35988">
        <w:rPr>
          <w:highlight w:val="white"/>
        </w:rPr>
        <w:t xml:space="preserve">Fordyce, M. W. (1988). A review of research on the happiness measures: A </w:t>
      </w:r>
      <w:proofErr w:type="gramStart"/>
      <w:r w:rsidRPr="00E35988">
        <w:rPr>
          <w:highlight w:val="white"/>
        </w:rPr>
        <w:t>sixty second</w:t>
      </w:r>
      <w:proofErr w:type="gramEnd"/>
      <w:r w:rsidRPr="00E35988">
        <w:rPr>
          <w:highlight w:val="white"/>
        </w:rPr>
        <w:t xml:space="preserve"> index of happiness and mental health. </w:t>
      </w:r>
      <w:r w:rsidRPr="00E35988">
        <w:rPr>
          <w:i/>
          <w:highlight w:val="white"/>
        </w:rPr>
        <w:t>Social Indicators Research</w:t>
      </w:r>
      <w:r w:rsidRPr="00E35988">
        <w:rPr>
          <w:highlight w:val="white"/>
        </w:rPr>
        <w:t xml:space="preserve">, </w:t>
      </w:r>
      <w:r w:rsidRPr="00E35988">
        <w:rPr>
          <w:i/>
          <w:highlight w:val="white"/>
        </w:rPr>
        <w:t>20</w:t>
      </w:r>
      <w:r w:rsidRPr="00E35988">
        <w:rPr>
          <w:highlight w:val="white"/>
        </w:rPr>
        <w:t xml:space="preserve">(4), 355-381. </w:t>
      </w:r>
      <w:hyperlink r:id="rId28">
        <w:r w:rsidRPr="0071200C">
          <w:rPr>
            <w:rStyle w:val="Hyperlink"/>
          </w:rPr>
          <w:t>https://doi.org/10.1007/BF00302333</w:t>
        </w:r>
      </w:hyperlink>
    </w:p>
    <w:p w14:paraId="2ED2D845" w14:textId="77777777" w:rsidR="00106BFA" w:rsidRPr="00E35988" w:rsidRDefault="00106BFA" w:rsidP="008F261B">
      <w:pPr>
        <w:pStyle w:val="Referenties"/>
      </w:pPr>
      <w:r w:rsidRPr="00E35988">
        <w:lastRenderedPageBreak/>
        <w:t>Frederick, S., &amp; Loewenstein, G. (1999). Hedonic adaptation. In D. Kahneman, E. Diener, &amp; N. Schwarz (Eds.), Well-being: The foundations of hedonic psychology (pp. 302–329). New York: Sage.</w:t>
      </w:r>
    </w:p>
    <w:p w14:paraId="69BF901A" w14:textId="5ED41F29" w:rsidR="00106BFA" w:rsidRPr="00E35988" w:rsidRDefault="00106BFA" w:rsidP="008F261B">
      <w:pPr>
        <w:pStyle w:val="Referenties"/>
        <w:rPr>
          <w:highlight w:val="white"/>
        </w:rPr>
      </w:pPr>
      <w:r w:rsidRPr="00E35988">
        <w:rPr>
          <w:highlight w:val="white"/>
        </w:rPr>
        <w:t>Holt-</w:t>
      </w:r>
      <w:proofErr w:type="spellStart"/>
      <w:r w:rsidRPr="00E35988">
        <w:rPr>
          <w:highlight w:val="white"/>
        </w:rPr>
        <w:t>Lunstad</w:t>
      </w:r>
      <w:proofErr w:type="spellEnd"/>
      <w:r w:rsidRPr="00E35988">
        <w:rPr>
          <w:highlight w:val="white"/>
        </w:rPr>
        <w:t>, J., Smith, T. B., &amp; Layton, J. B. (2010). Social relationships and mortality risk: a meta-analytic review.</w:t>
      </w:r>
      <w:r w:rsidRPr="00E35988">
        <w:rPr>
          <w:i/>
          <w:highlight w:val="white"/>
        </w:rPr>
        <w:t xml:space="preserve"> </w:t>
      </w:r>
      <w:proofErr w:type="spellStart"/>
      <w:r w:rsidRPr="00E35988">
        <w:rPr>
          <w:i/>
          <w:highlight w:val="white"/>
        </w:rPr>
        <w:t>PLoS</w:t>
      </w:r>
      <w:proofErr w:type="spellEnd"/>
      <w:r w:rsidRPr="00E35988">
        <w:rPr>
          <w:i/>
          <w:highlight w:val="white"/>
        </w:rPr>
        <w:t xml:space="preserve"> Medicine, 7</w:t>
      </w:r>
      <w:r w:rsidRPr="00E35988">
        <w:rPr>
          <w:highlight w:val="white"/>
        </w:rPr>
        <w:t xml:space="preserve">(7), e1000316. </w:t>
      </w:r>
      <w:hyperlink r:id="rId29">
        <w:r w:rsidRPr="0071200C">
          <w:rPr>
            <w:rStyle w:val="Hyperlink"/>
          </w:rPr>
          <w:t>https://doi.org/10.1371/journal.pmed.1000316</w:t>
        </w:r>
      </w:hyperlink>
      <w:r w:rsidR="0071200C">
        <w:rPr>
          <w:u w:val="single"/>
        </w:rPr>
        <w:t xml:space="preserve"> </w:t>
      </w:r>
    </w:p>
    <w:p w14:paraId="750828C2" w14:textId="77777777" w:rsidR="00106BFA" w:rsidRPr="00E35988" w:rsidRDefault="00106BFA" w:rsidP="008F261B">
      <w:pPr>
        <w:pStyle w:val="Referenties"/>
        <w:rPr>
          <w:rFonts w:eastAsia="Roboto"/>
          <w:color w:val="205493"/>
          <w:sz w:val="24"/>
          <w:szCs w:val="24"/>
          <w:highlight w:val="white"/>
        </w:rPr>
      </w:pPr>
      <w:r w:rsidRPr="00E35988">
        <w:rPr>
          <w:highlight w:val="white"/>
        </w:rPr>
        <w:t>Holt-</w:t>
      </w:r>
      <w:proofErr w:type="spellStart"/>
      <w:r w:rsidRPr="00E35988">
        <w:rPr>
          <w:highlight w:val="white"/>
        </w:rPr>
        <w:t>Lunstad</w:t>
      </w:r>
      <w:proofErr w:type="spellEnd"/>
      <w:r w:rsidRPr="00E35988">
        <w:rPr>
          <w:highlight w:val="white"/>
        </w:rPr>
        <w:t xml:space="preserve">, J., Smith, T. B., Baker, M., Harris, T., &amp; Stephenson, D. (2015). Loneliness and social isolation as risk factors for mortality: a meta-analytic review. </w:t>
      </w:r>
      <w:r w:rsidRPr="00E35988">
        <w:rPr>
          <w:i/>
          <w:highlight w:val="white"/>
        </w:rPr>
        <w:t>Perspectives on Psychological Science</w:t>
      </w:r>
      <w:r w:rsidRPr="00E35988">
        <w:rPr>
          <w:highlight w:val="white"/>
        </w:rPr>
        <w:t xml:space="preserve">, </w:t>
      </w:r>
      <w:r w:rsidRPr="00E35988">
        <w:rPr>
          <w:i/>
          <w:highlight w:val="white"/>
        </w:rPr>
        <w:t>10</w:t>
      </w:r>
      <w:r w:rsidRPr="00E35988">
        <w:rPr>
          <w:highlight w:val="white"/>
        </w:rPr>
        <w:t xml:space="preserve">(2), 227-237. </w:t>
      </w:r>
      <w:hyperlink r:id="rId30">
        <w:r w:rsidRPr="0071200C">
          <w:rPr>
            <w:rStyle w:val="Hyperlink"/>
          </w:rPr>
          <w:t>https://doi.org/</w:t>
        </w:r>
      </w:hyperlink>
      <w:hyperlink r:id="rId31">
        <w:r w:rsidRPr="0071200C">
          <w:rPr>
            <w:rStyle w:val="Hyperlink"/>
          </w:rPr>
          <w:t>10.1177/1745691614568352</w:t>
        </w:r>
      </w:hyperlink>
    </w:p>
    <w:p w14:paraId="55108938" w14:textId="77777777" w:rsidR="00106BFA" w:rsidRPr="00E35988" w:rsidRDefault="00106BFA" w:rsidP="008F261B">
      <w:pPr>
        <w:pStyle w:val="Referenties"/>
      </w:pPr>
      <w:r w:rsidRPr="00E35988">
        <w:rPr>
          <w:highlight w:val="white"/>
        </w:rPr>
        <w:t xml:space="preserve">Keyes, C. L. (2005). Mental illness and/or mental health? Investigating axioms of the complete state model of health. </w:t>
      </w:r>
      <w:r w:rsidRPr="00E35988">
        <w:rPr>
          <w:i/>
          <w:highlight w:val="white"/>
        </w:rPr>
        <w:t>Journal of Consulting and Clinical Psychology</w:t>
      </w:r>
      <w:r w:rsidRPr="00E35988">
        <w:rPr>
          <w:highlight w:val="white"/>
        </w:rPr>
        <w:t xml:space="preserve">, </w:t>
      </w:r>
      <w:r w:rsidRPr="00E35988">
        <w:rPr>
          <w:i/>
          <w:highlight w:val="white"/>
        </w:rPr>
        <w:t>73</w:t>
      </w:r>
      <w:r w:rsidRPr="00E35988">
        <w:rPr>
          <w:highlight w:val="white"/>
        </w:rPr>
        <w:t xml:space="preserve">(3), 539. </w:t>
      </w:r>
      <w:hyperlink r:id="rId32">
        <w:r w:rsidRPr="0071200C">
          <w:rPr>
            <w:rStyle w:val="Hyperlink"/>
          </w:rPr>
          <w:t>https://doi.org/</w:t>
        </w:r>
      </w:hyperlink>
      <w:hyperlink r:id="rId33">
        <w:r w:rsidRPr="0071200C">
          <w:rPr>
            <w:rStyle w:val="Hyperlink"/>
          </w:rPr>
          <w:t>10.1037/0022-006X.73.3.539</w:t>
        </w:r>
      </w:hyperlink>
    </w:p>
    <w:p w14:paraId="766D152A" w14:textId="77777777" w:rsidR="00106BFA" w:rsidRPr="00E35988" w:rsidRDefault="00106BFA" w:rsidP="008F261B">
      <w:pPr>
        <w:pStyle w:val="Referenties"/>
      </w:pPr>
      <w:r w:rsidRPr="00E35988">
        <w:rPr>
          <w:highlight w:val="white"/>
        </w:rPr>
        <w:t xml:space="preserve">Leander, N. P., Lemay Jr, E. P., &amp; </w:t>
      </w:r>
      <w:proofErr w:type="spellStart"/>
      <w:r w:rsidRPr="00E35988">
        <w:rPr>
          <w:highlight w:val="white"/>
        </w:rPr>
        <w:t>Jeronimus</w:t>
      </w:r>
      <w:proofErr w:type="spellEnd"/>
      <w:r w:rsidRPr="00E35988">
        <w:rPr>
          <w:highlight w:val="white"/>
        </w:rPr>
        <w:t xml:space="preserve">, B. F. (2020). Towards a Globally Collaborative Behavioral Science: An Organizational Approach from Pandemic Psychology. </w:t>
      </w:r>
      <w:proofErr w:type="spellStart"/>
      <w:r w:rsidRPr="00E35988">
        <w:rPr>
          <w:i/>
          <w:highlight w:val="white"/>
        </w:rPr>
        <w:t>ISSBDBulletin</w:t>
      </w:r>
      <w:proofErr w:type="spellEnd"/>
      <w:r w:rsidRPr="00E35988">
        <w:rPr>
          <w:highlight w:val="white"/>
        </w:rPr>
        <w:t>, 2.</w:t>
      </w:r>
      <w:r w:rsidRPr="00E35988">
        <w:t xml:space="preserve"> </w:t>
      </w:r>
      <w:hyperlink r:id="rId34" w:history="1">
        <w:r w:rsidRPr="0071200C">
          <w:rPr>
            <w:rStyle w:val="Hyperlink"/>
          </w:rPr>
          <w:t>https://issbd.org/ContentDisplay.aspx?src=previousBulletins</w:t>
        </w:r>
      </w:hyperlink>
      <w:r w:rsidRPr="00E35988">
        <w:t xml:space="preserve"> </w:t>
      </w:r>
    </w:p>
    <w:p w14:paraId="51D1D4B5" w14:textId="77777777" w:rsidR="00106BFA" w:rsidRDefault="00106BFA" w:rsidP="008F261B">
      <w:pPr>
        <w:pStyle w:val="Referenties"/>
        <w:rPr>
          <w:u w:val="single"/>
          <w:shd w:val="clear" w:color="auto" w:fill="FCFCFC"/>
        </w:rPr>
      </w:pPr>
      <w:r w:rsidRPr="00E35988">
        <w:t>Leslie, E. &amp; Wilson, R. (2020). Sheltering in place and domestic violence: evidence from calls for service during COVID-19.</w:t>
      </w:r>
      <w:r w:rsidRPr="00E35988">
        <w:rPr>
          <w:i/>
        </w:rPr>
        <w:t xml:space="preserve"> Journal of Public Economics, 189</w:t>
      </w:r>
      <w:r w:rsidRPr="00E35988">
        <w:t xml:space="preserve">, 104241. </w:t>
      </w:r>
      <w:hyperlink r:id="rId35">
        <w:r w:rsidRPr="0071200C">
          <w:rPr>
            <w:rStyle w:val="Hyperlink"/>
          </w:rPr>
          <w:t>https://doi.org/10.1016/j.jpubeco.2020.104241</w:t>
        </w:r>
      </w:hyperlink>
    </w:p>
    <w:p w14:paraId="3C18F3ED" w14:textId="604EADF1" w:rsidR="00106BFA" w:rsidRPr="00F364E1" w:rsidRDefault="00106BFA" w:rsidP="008F261B">
      <w:pPr>
        <w:pStyle w:val="Referenties"/>
      </w:pPr>
      <w:r w:rsidRPr="00F364E1">
        <w:t>Little, R. J., &amp; Rubin, D. B. (1987). </w:t>
      </w:r>
      <w:r w:rsidRPr="00F364E1">
        <w:rPr>
          <w:i/>
          <w:iCs/>
        </w:rPr>
        <w:t>Statistical analysis with missing data</w:t>
      </w:r>
      <w:r w:rsidRPr="00F364E1">
        <w:t xml:space="preserve"> (Vol. 793). John Wiley &amp; Sons. </w:t>
      </w:r>
    </w:p>
    <w:p w14:paraId="24528D90" w14:textId="77777777" w:rsidR="00106BFA" w:rsidRPr="00E35988" w:rsidRDefault="00106BFA" w:rsidP="008F261B">
      <w:pPr>
        <w:pStyle w:val="Referenties"/>
        <w:rPr>
          <w:highlight w:val="white"/>
        </w:rPr>
      </w:pPr>
      <w:r w:rsidRPr="00E35988">
        <w:rPr>
          <w:highlight w:val="white"/>
        </w:rPr>
        <w:t xml:space="preserve">Litwin, H. and M. </w:t>
      </w:r>
      <w:proofErr w:type="spellStart"/>
      <w:r w:rsidRPr="00E35988">
        <w:rPr>
          <w:highlight w:val="white"/>
        </w:rPr>
        <w:t>Levinsky</w:t>
      </w:r>
      <w:proofErr w:type="spellEnd"/>
      <w:r w:rsidRPr="00E35988">
        <w:rPr>
          <w:highlight w:val="white"/>
        </w:rPr>
        <w:t xml:space="preserve"> (2021): </w:t>
      </w:r>
      <w:hyperlink r:id="rId36" w:tgtFrame="_blank" w:history="1">
        <w:r w:rsidRPr="00E35988">
          <w:rPr>
            <w:highlight w:val="white"/>
          </w:rPr>
          <w:t>Social Networks and Mental Health Change in Older Adults After the Covid-19 Outbreak</w:t>
        </w:r>
      </w:hyperlink>
      <w:r w:rsidRPr="00E35988">
        <w:rPr>
          <w:highlight w:val="white"/>
        </w:rPr>
        <w:t xml:space="preserve">. </w:t>
      </w:r>
      <w:r w:rsidRPr="00E35988">
        <w:rPr>
          <w:i/>
          <w:iCs/>
          <w:highlight w:val="white"/>
        </w:rPr>
        <w:t>Aging &amp; Mental Health</w:t>
      </w:r>
      <w:r w:rsidRPr="00E35988">
        <w:rPr>
          <w:highlight w:val="white"/>
        </w:rPr>
        <w:t xml:space="preserve"> (online first). </w:t>
      </w:r>
      <w:r w:rsidRPr="0071200C">
        <w:rPr>
          <w:rStyle w:val="Hyperlink"/>
        </w:rPr>
        <w:t>https://doi.org/10.1080/13607863.2021.1902468</w:t>
      </w:r>
    </w:p>
    <w:p w14:paraId="0E0D8536" w14:textId="77777777" w:rsidR="00106BFA" w:rsidRPr="00E35988" w:rsidRDefault="00106BFA" w:rsidP="008F261B">
      <w:pPr>
        <w:pStyle w:val="Referenties"/>
        <w:rPr>
          <w:highlight w:val="white"/>
        </w:rPr>
      </w:pPr>
      <w:r w:rsidRPr="00E35988">
        <w:rPr>
          <w:highlight w:val="white"/>
        </w:rPr>
        <w:t xml:space="preserve">Lindenberg, S. (1996). Continuities in the theory of social production functions. </w:t>
      </w:r>
      <w:r w:rsidRPr="00E35988">
        <w:rPr>
          <w:highlight w:val="white"/>
          <w:lang w:val="nl-NL"/>
        </w:rPr>
        <w:t xml:space="preserve">In H. </w:t>
      </w:r>
      <w:proofErr w:type="spellStart"/>
      <w:r w:rsidRPr="00E35988">
        <w:rPr>
          <w:highlight w:val="white"/>
          <w:lang w:val="nl-NL"/>
        </w:rPr>
        <w:t>Ganzeboom</w:t>
      </w:r>
      <w:proofErr w:type="spellEnd"/>
      <w:r w:rsidRPr="00E35988">
        <w:rPr>
          <w:highlight w:val="white"/>
          <w:lang w:val="nl-NL"/>
        </w:rPr>
        <w:t xml:space="preserve"> &amp; S. Lindenberg (Eds.), </w:t>
      </w:r>
      <w:r w:rsidRPr="00E35988">
        <w:rPr>
          <w:i/>
          <w:highlight w:val="white"/>
          <w:lang w:val="nl-NL"/>
        </w:rPr>
        <w:t xml:space="preserve">Verklarende Sociologie: Opstellen voor Reinhard </w:t>
      </w:r>
      <w:proofErr w:type="spellStart"/>
      <w:r w:rsidRPr="00E35988">
        <w:rPr>
          <w:i/>
          <w:highlight w:val="white"/>
          <w:lang w:val="nl-NL"/>
        </w:rPr>
        <w:t>Wippler</w:t>
      </w:r>
      <w:proofErr w:type="spellEnd"/>
      <w:r w:rsidRPr="00E35988">
        <w:rPr>
          <w:highlight w:val="white"/>
          <w:lang w:val="nl-NL"/>
        </w:rPr>
        <w:t xml:space="preserve"> (pp. 169–184). </w:t>
      </w:r>
      <w:r w:rsidRPr="00E35988">
        <w:rPr>
          <w:highlight w:val="white"/>
        </w:rPr>
        <w:t xml:space="preserve">Amsterdam: </w:t>
      </w:r>
      <w:proofErr w:type="spellStart"/>
      <w:r w:rsidRPr="00E35988">
        <w:rPr>
          <w:highlight w:val="white"/>
        </w:rPr>
        <w:t>Thela</w:t>
      </w:r>
      <w:proofErr w:type="spellEnd"/>
      <w:r w:rsidRPr="00E35988">
        <w:rPr>
          <w:highlight w:val="white"/>
        </w:rPr>
        <w:t xml:space="preserve"> Thesis.</w:t>
      </w:r>
    </w:p>
    <w:p w14:paraId="37BC2F6D" w14:textId="77777777" w:rsidR="00106BFA" w:rsidRPr="00E35988" w:rsidRDefault="00106BFA" w:rsidP="008F261B">
      <w:pPr>
        <w:pStyle w:val="Referenties"/>
        <w:rPr>
          <w:highlight w:val="white"/>
        </w:rPr>
      </w:pPr>
      <w:r w:rsidRPr="00E35988">
        <w:rPr>
          <w:highlight w:val="white"/>
        </w:rPr>
        <w:lastRenderedPageBreak/>
        <w:t xml:space="preserve">Lindenberg, S. (2013). Social rationality, self-regulation and well-being: The regulatory significance of needs, goals, and the self. In R. </w:t>
      </w:r>
      <w:proofErr w:type="spellStart"/>
      <w:r w:rsidRPr="00E35988">
        <w:rPr>
          <w:highlight w:val="white"/>
        </w:rPr>
        <w:t>Wittek</w:t>
      </w:r>
      <w:proofErr w:type="spellEnd"/>
      <w:r w:rsidRPr="00E35988">
        <w:rPr>
          <w:highlight w:val="white"/>
        </w:rPr>
        <w:t xml:space="preserve">, T. </w:t>
      </w:r>
      <w:proofErr w:type="spellStart"/>
      <w:r w:rsidRPr="00E35988">
        <w:rPr>
          <w:highlight w:val="white"/>
        </w:rPr>
        <w:t>Snijders</w:t>
      </w:r>
      <w:proofErr w:type="spellEnd"/>
      <w:r w:rsidRPr="00E35988">
        <w:rPr>
          <w:highlight w:val="white"/>
        </w:rPr>
        <w:t xml:space="preserve">, &amp; V. Nee (Eds.), </w:t>
      </w:r>
      <w:proofErr w:type="gramStart"/>
      <w:r w:rsidRPr="00E35988">
        <w:rPr>
          <w:i/>
          <w:highlight w:val="white"/>
        </w:rPr>
        <w:t>The</w:t>
      </w:r>
      <w:proofErr w:type="gramEnd"/>
      <w:r w:rsidRPr="00E35988">
        <w:rPr>
          <w:i/>
          <w:highlight w:val="white"/>
        </w:rPr>
        <w:t xml:space="preserve"> handbook of rational choice social research</w:t>
      </w:r>
      <w:r w:rsidRPr="00E35988">
        <w:rPr>
          <w:highlight w:val="white"/>
        </w:rPr>
        <w:t xml:space="preserve"> (pp. 72–113). Stanford, CA: Stanford University Press.</w:t>
      </w:r>
    </w:p>
    <w:p w14:paraId="49743506" w14:textId="77777777" w:rsidR="00106BFA" w:rsidRPr="00E35988" w:rsidRDefault="00106BFA" w:rsidP="008F261B">
      <w:pPr>
        <w:pStyle w:val="Referenties"/>
      </w:pPr>
      <w:r w:rsidRPr="00E35988">
        <w:t xml:space="preserve">Lucas, R. E. (2007). Adaptation and the set-point model of subjective well-being: Does happiness change after major life events? </w:t>
      </w:r>
      <w:r w:rsidRPr="00E35988">
        <w:rPr>
          <w:i/>
        </w:rPr>
        <w:t xml:space="preserve">Current Directions in Psychological Science, 16, </w:t>
      </w:r>
      <w:r w:rsidRPr="00E35988">
        <w:t xml:space="preserve">75–79. </w:t>
      </w:r>
      <w:hyperlink r:id="rId37">
        <w:r w:rsidRPr="0071200C">
          <w:rPr>
            <w:rStyle w:val="Hyperlink"/>
          </w:rPr>
          <w:t>https://doi.org/10.1111/j.1467-8721.2007.00479.x</w:t>
        </w:r>
      </w:hyperlink>
    </w:p>
    <w:p w14:paraId="0A230B83" w14:textId="3D457A8E" w:rsidR="00106BFA" w:rsidRPr="00E35988" w:rsidRDefault="00106BFA" w:rsidP="008F261B">
      <w:pPr>
        <w:pStyle w:val="Referenties"/>
        <w:rPr>
          <w:lang w:val="nl-NL"/>
        </w:rPr>
      </w:pPr>
      <w:r w:rsidRPr="00E35988">
        <w:rPr>
          <w:highlight w:val="white"/>
        </w:rPr>
        <w:t xml:space="preserve">Lucas, R. E., Clark, A. E., </w:t>
      </w:r>
      <w:proofErr w:type="spellStart"/>
      <w:r w:rsidRPr="00E35988">
        <w:rPr>
          <w:highlight w:val="white"/>
        </w:rPr>
        <w:t>Georgellis</w:t>
      </w:r>
      <w:proofErr w:type="spellEnd"/>
      <w:r w:rsidRPr="00E35988">
        <w:rPr>
          <w:highlight w:val="white"/>
        </w:rPr>
        <w:t xml:space="preserve">, Y., &amp; Diener, E. (2004). Unemployment alters the set point for life satisfaction. </w:t>
      </w:r>
      <w:r w:rsidRPr="00E35988">
        <w:rPr>
          <w:i/>
          <w:highlight w:val="white"/>
        </w:rPr>
        <w:t>Psychological science</w:t>
      </w:r>
      <w:r w:rsidRPr="00E35988">
        <w:rPr>
          <w:highlight w:val="white"/>
        </w:rPr>
        <w:t xml:space="preserve">, </w:t>
      </w:r>
      <w:r w:rsidRPr="00E35988">
        <w:rPr>
          <w:i/>
          <w:highlight w:val="white"/>
        </w:rPr>
        <w:t>15</w:t>
      </w:r>
      <w:r w:rsidRPr="00E35988">
        <w:rPr>
          <w:highlight w:val="white"/>
        </w:rPr>
        <w:t xml:space="preserve">(1), 8-13. </w:t>
      </w:r>
      <w:hyperlink r:id="rId38" w:history="1">
        <w:r w:rsidR="0071200C" w:rsidRPr="00B85446">
          <w:rPr>
            <w:rStyle w:val="Hyperlink"/>
            <w:lang w:val="nl-NL"/>
          </w:rPr>
          <w:t>https://doi.org/10.1111/j.0963-7214.2004.01501002.x</w:t>
        </w:r>
      </w:hyperlink>
    </w:p>
    <w:p w14:paraId="7D7D5C61" w14:textId="77777777" w:rsidR="00106BFA" w:rsidRPr="00E35988" w:rsidRDefault="00106BFA" w:rsidP="008F261B">
      <w:pPr>
        <w:pStyle w:val="Referenties"/>
      </w:pPr>
      <w:proofErr w:type="spellStart"/>
      <w:r w:rsidRPr="00E35988">
        <w:rPr>
          <w:lang w:val="nl-NL"/>
        </w:rPr>
        <w:t>Luhmann</w:t>
      </w:r>
      <w:proofErr w:type="spellEnd"/>
      <w:r w:rsidRPr="00E35988">
        <w:rPr>
          <w:lang w:val="nl-NL"/>
        </w:rPr>
        <w:t xml:space="preserve">, M., </w:t>
      </w:r>
      <w:proofErr w:type="spellStart"/>
      <w:r w:rsidRPr="00E35988">
        <w:rPr>
          <w:lang w:val="nl-NL"/>
        </w:rPr>
        <w:t>Hofmann</w:t>
      </w:r>
      <w:proofErr w:type="spellEnd"/>
      <w:r w:rsidRPr="00E35988">
        <w:rPr>
          <w:lang w:val="nl-NL"/>
        </w:rPr>
        <w:t xml:space="preserve">, W., </w:t>
      </w:r>
      <w:proofErr w:type="spellStart"/>
      <w:r w:rsidRPr="00E35988">
        <w:rPr>
          <w:lang w:val="nl-NL"/>
        </w:rPr>
        <w:t>Eid</w:t>
      </w:r>
      <w:proofErr w:type="spellEnd"/>
      <w:r w:rsidRPr="00E35988">
        <w:rPr>
          <w:lang w:val="nl-NL"/>
        </w:rPr>
        <w:t xml:space="preserve">, M., &amp; Lucas, R. E. (2012). </w:t>
      </w:r>
      <w:r w:rsidRPr="00E35988">
        <w:t xml:space="preserve">Subjective well-being and adaptation to life events: a meta-analysis. </w:t>
      </w:r>
      <w:r w:rsidRPr="00E35988">
        <w:rPr>
          <w:i/>
        </w:rPr>
        <w:t>Journal of Personality and Social Psychology, 102</w:t>
      </w:r>
      <w:r w:rsidRPr="00E35988">
        <w:t xml:space="preserve">(3), 592-615. </w:t>
      </w:r>
      <w:hyperlink r:id="rId39">
        <w:r w:rsidRPr="0071200C">
          <w:rPr>
            <w:rStyle w:val="Hyperlink"/>
          </w:rPr>
          <w:t>https://doi.org/10.1037/a0025948</w:t>
        </w:r>
      </w:hyperlink>
    </w:p>
    <w:p w14:paraId="4D4DF37E" w14:textId="77777777" w:rsidR="00106BFA" w:rsidRDefault="00106BFA" w:rsidP="008F261B">
      <w:pPr>
        <w:pStyle w:val="Referenties"/>
        <w:rPr>
          <w:highlight w:val="white"/>
          <w:u w:val="single"/>
        </w:rPr>
      </w:pPr>
      <w:proofErr w:type="spellStart"/>
      <w:r w:rsidRPr="00E35988">
        <w:t>Marroquín</w:t>
      </w:r>
      <w:proofErr w:type="spellEnd"/>
      <w:r w:rsidRPr="00E35988">
        <w:t xml:space="preserve">, B., Vine, V., &amp; Morgan, R. (2020). Mental Health </w:t>
      </w:r>
      <w:proofErr w:type="gramStart"/>
      <w:r w:rsidRPr="00E35988">
        <w:t>During</w:t>
      </w:r>
      <w:proofErr w:type="gramEnd"/>
      <w:r w:rsidRPr="00E35988">
        <w:t xml:space="preserve"> the COVID-19 Pandemic: Effects of Stay-at-Home Policies, Social Distancing Behavior, and Social Resources. </w:t>
      </w:r>
      <w:r w:rsidRPr="00E35988">
        <w:rPr>
          <w:i/>
        </w:rPr>
        <w:t xml:space="preserve">Psychiatry Research, 293, </w:t>
      </w:r>
      <w:r w:rsidRPr="00E35988">
        <w:t xml:space="preserve">113419. </w:t>
      </w:r>
      <w:r w:rsidRPr="0071200C">
        <w:rPr>
          <w:rStyle w:val="Hyperlink"/>
        </w:rPr>
        <w:t>https://doi.org/10.1016/j.psychres.2020.113419</w:t>
      </w:r>
      <w:r w:rsidRPr="00E35988">
        <w:rPr>
          <w:highlight w:val="white"/>
          <w:u w:val="single"/>
        </w:rPr>
        <w:t xml:space="preserve"> </w:t>
      </w:r>
    </w:p>
    <w:p w14:paraId="42830529" w14:textId="77777777" w:rsidR="00106BFA" w:rsidRPr="00EF53C9" w:rsidRDefault="00106BFA" w:rsidP="008F261B">
      <w:pPr>
        <w:pStyle w:val="Referenties"/>
      </w:pPr>
      <w:proofErr w:type="spellStart"/>
      <w:r w:rsidRPr="00EF53C9">
        <w:t>Mukaka</w:t>
      </w:r>
      <w:proofErr w:type="spellEnd"/>
      <w:r w:rsidRPr="00EF53C9">
        <w:t>, M. M. (2012). A guide to appropriate use of correlation coefficient in medical research. </w:t>
      </w:r>
      <w:r w:rsidRPr="00EF53C9">
        <w:rPr>
          <w:i/>
          <w:iCs/>
        </w:rPr>
        <w:t>Malawi Medical Journal, 24</w:t>
      </w:r>
      <w:r w:rsidRPr="00EF53C9">
        <w:t>, 69–71. </w:t>
      </w:r>
      <w:hyperlink r:id="rId40" w:history="1">
        <w:r w:rsidRPr="0071200C">
          <w:rPr>
            <w:rStyle w:val="Hyperlink"/>
          </w:rPr>
          <w:t>https://www.ncbi.nlm.nih.gov/pmc/articles/PMC3576830</w:t>
        </w:r>
      </w:hyperlink>
    </w:p>
    <w:p w14:paraId="3769CE50" w14:textId="77777777" w:rsidR="00106BFA" w:rsidRPr="00E35988" w:rsidRDefault="00106BFA" w:rsidP="008F261B">
      <w:pPr>
        <w:pStyle w:val="Referenties"/>
        <w:rPr>
          <w:highlight w:val="white"/>
          <w:u w:val="single"/>
        </w:rPr>
      </w:pPr>
      <w:proofErr w:type="spellStart"/>
      <w:r w:rsidRPr="00E35988">
        <w:rPr>
          <w:highlight w:val="white"/>
        </w:rPr>
        <w:t>Nylund</w:t>
      </w:r>
      <w:proofErr w:type="spellEnd"/>
      <w:r w:rsidRPr="00E35988">
        <w:rPr>
          <w:highlight w:val="white"/>
        </w:rPr>
        <w:t xml:space="preserve">, K. L., </w:t>
      </w:r>
      <w:proofErr w:type="spellStart"/>
      <w:r w:rsidRPr="00E35988">
        <w:rPr>
          <w:highlight w:val="white"/>
        </w:rPr>
        <w:t>Asparouhov</w:t>
      </w:r>
      <w:proofErr w:type="spellEnd"/>
      <w:r w:rsidRPr="00E35988">
        <w:rPr>
          <w:highlight w:val="white"/>
        </w:rPr>
        <w:t xml:space="preserve">, T., &amp; </w:t>
      </w:r>
      <w:proofErr w:type="spellStart"/>
      <w:r w:rsidRPr="00E35988">
        <w:rPr>
          <w:highlight w:val="white"/>
        </w:rPr>
        <w:t>Muthén</w:t>
      </w:r>
      <w:proofErr w:type="spellEnd"/>
      <w:r w:rsidRPr="00E35988">
        <w:rPr>
          <w:highlight w:val="white"/>
        </w:rPr>
        <w:t xml:space="preserve">, B. O. (2007). Deciding on the number of classes in latent class analysis and growth mixture modeling: A Monte Carlo simulation study. </w:t>
      </w:r>
      <w:r w:rsidRPr="00E35988">
        <w:rPr>
          <w:i/>
          <w:highlight w:val="white"/>
        </w:rPr>
        <w:t>Structural Equation Modeling, 14</w:t>
      </w:r>
      <w:r w:rsidRPr="00E35988">
        <w:rPr>
          <w:highlight w:val="white"/>
        </w:rPr>
        <w:t xml:space="preserve">, 535–569. </w:t>
      </w:r>
      <w:r w:rsidRPr="0071200C">
        <w:rPr>
          <w:rStyle w:val="Hyperlink"/>
        </w:rPr>
        <w:t>https://doi.org/10.1080/10705510701575396</w:t>
      </w:r>
    </w:p>
    <w:p w14:paraId="711C936C" w14:textId="6A89BB2C" w:rsidR="00106BFA" w:rsidRPr="00E35988" w:rsidRDefault="00106BFA" w:rsidP="008F261B">
      <w:pPr>
        <w:pStyle w:val="Referenties"/>
        <w:rPr>
          <w:highlight w:val="white"/>
          <w:u w:val="single"/>
        </w:rPr>
      </w:pPr>
      <w:proofErr w:type="spellStart"/>
      <w:r w:rsidRPr="00E35988">
        <w:rPr>
          <w:highlight w:val="white"/>
        </w:rPr>
        <w:t>Ormel</w:t>
      </w:r>
      <w:proofErr w:type="spellEnd"/>
      <w:r w:rsidRPr="00E35988">
        <w:rPr>
          <w:highlight w:val="white"/>
        </w:rPr>
        <w:t xml:space="preserve">, J., Lindenberg, S., Steverink, N., &amp; </w:t>
      </w:r>
      <w:proofErr w:type="spellStart"/>
      <w:r w:rsidRPr="00E35988">
        <w:rPr>
          <w:highlight w:val="white"/>
        </w:rPr>
        <w:t>Verbrugge</w:t>
      </w:r>
      <w:proofErr w:type="spellEnd"/>
      <w:r w:rsidRPr="00E35988">
        <w:rPr>
          <w:highlight w:val="white"/>
        </w:rPr>
        <w:t xml:space="preserve">, L. M. (1999). Subjective well-being and social production functions. </w:t>
      </w:r>
      <w:r w:rsidRPr="00E35988">
        <w:rPr>
          <w:i/>
          <w:highlight w:val="white"/>
        </w:rPr>
        <w:t>Social Indicators Research, 46</w:t>
      </w:r>
      <w:r w:rsidRPr="00E35988">
        <w:rPr>
          <w:highlight w:val="white"/>
        </w:rPr>
        <w:t xml:space="preserve">(1), 61–69. </w:t>
      </w:r>
      <w:hyperlink r:id="rId41">
        <w:r w:rsidRPr="0071200C">
          <w:rPr>
            <w:rStyle w:val="Hyperlink"/>
          </w:rPr>
          <w:t>https://doi.org/10.1023/A:1006907811502</w:t>
        </w:r>
      </w:hyperlink>
    </w:p>
    <w:p w14:paraId="7050978F" w14:textId="77777777" w:rsidR="00106BFA" w:rsidRPr="00E35988" w:rsidRDefault="00106BFA" w:rsidP="008F261B">
      <w:pPr>
        <w:pStyle w:val="Referenties"/>
        <w:rPr>
          <w:highlight w:val="white"/>
          <w:u w:val="single"/>
        </w:rPr>
      </w:pPr>
      <w:r w:rsidRPr="00E35988">
        <w:rPr>
          <w:highlight w:val="white"/>
        </w:rPr>
        <w:lastRenderedPageBreak/>
        <w:t xml:space="preserve">Palmer, B. W., Martin, A. S., Depp, C. A., </w:t>
      </w:r>
      <w:proofErr w:type="spellStart"/>
      <w:r w:rsidRPr="00E35988">
        <w:rPr>
          <w:highlight w:val="white"/>
        </w:rPr>
        <w:t>Glorioso</w:t>
      </w:r>
      <w:proofErr w:type="spellEnd"/>
      <w:r w:rsidRPr="00E35988">
        <w:rPr>
          <w:highlight w:val="white"/>
        </w:rPr>
        <w:t xml:space="preserve">, D. K., &amp; </w:t>
      </w:r>
      <w:proofErr w:type="spellStart"/>
      <w:r w:rsidRPr="00E35988">
        <w:rPr>
          <w:highlight w:val="white"/>
        </w:rPr>
        <w:t>Jeste</w:t>
      </w:r>
      <w:proofErr w:type="spellEnd"/>
      <w:r w:rsidRPr="00E35988">
        <w:rPr>
          <w:highlight w:val="white"/>
        </w:rPr>
        <w:t xml:space="preserve">, D. V. (2014). Wellness within illness: happiness in schizophrenia. </w:t>
      </w:r>
      <w:r w:rsidRPr="00E35988">
        <w:rPr>
          <w:i/>
          <w:highlight w:val="white"/>
        </w:rPr>
        <w:t>Schizophrenia Research, 159</w:t>
      </w:r>
      <w:r w:rsidRPr="00E35988">
        <w:rPr>
          <w:highlight w:val="white"/>
        </w:rPr>
        <w:t xml:space="preserve">(1), 151-156. </w:t>
      </w:r>
      <w:r w:rsidRPr="0071200C">
        <w:rPr>
          <w:rStyle w:val="Hyperlink"/>
        </w:rPr>
        <w:t>https://doi.org/</w:t>
      </w:r>
      <w:hyperlink r:id="rId42">
        <w:r w:rsidRPr="0071200C">
          <w:rPr>
            <w:rStyle w:val="Hyperlink"/>
          </w:rPr>
          <w:t>10.1016/j.schres.2014.07.027</w:t>
        </w:r>
      </w:hyperlink>
    </w:p>
    <w:p w14:paraId="5ED33691" w14:textId="77777777" w:rsidR="00106BFA" w:rsidRPr="00E35988" w:rsidRDefault="00106BFA" w:rsidP="008F261B">
      <w:pPr>
        <w:pStyle w:val="Referenties"/>
        <w:rPr>
          <w:highlight w:val="white"/>
          <w:u w:val="single"/>
        </w:rPr>
      </w:pPr>
      <w:r w:rsidRPr="00E35988">
        <w:rPr>
          <w:highlight w:val="white"/>
          <w:lang w:val="nl-NL"/>
        </w:rPr>
        <w:t xml:space="preserve">Ram, N., &amp; </w:t>
      </w:r>
      <w:proofErr w:type="spellStart"/>
      <w:r w:rsidRPr="00E35988">
        <w:rPr>
          <w:highlight w:val="white"/>
          <w:lang w:val="nl-NL"/>
        </w:rPr>
        <w:t>Grimm</w:t>
      </w:r>
      <w:proofErr w:type="spellEnd"/>
      <w:r w:rsidRPr="00E35988">
        <w:rPr>
          <w:highlight w:val="white"/>
          <w:lang w:val="nl-NL"/>
        </w:rPr>
        <w:t xml:space="preserve">, K. J. (2009). </w:t>
      </w:r>
      <w:r w:rsidRPr="00E35988">
        <w:rPr>
          <w:highlight w:val="white"/>
        </w:rPr>
        <w:t xml:space="preserve">Methods and measures: Growth mixture modeling: A method for </w:t>
      </w:r>
      <w:r w:rsidRPr="00E35988">
        <w:rPr>
          <w:highlight w:val="white"/>
        </w:rPr>
        <w:tab/>
        <w:t xml:space="preserve">identifying differences in longitudinal change among unobserved groups. </w:t>
      </w:r>
      <w:r w:rsidRPr="00E35988">
        <w:rPr>
          <w:i/>
          <w:highlight w:val="white"/>
        </w:rPr>
        <w:t>International Journal of Behavioral Development</w:t>
      </w:r>
      <w:r w:rsidRPr="00E35988">
        <w:rPr>
          <w:highlight w:val="white"/>
        </w:rPr>
        <w:t xml:space="preserve">, </w:t>
      </w:r>
      <w:r w:rsidRPr="00E35988">
        <w:rPr>
          <w:i/>
          <w:highlight w:val="white"/>
        </w:rPr>
        <w:t>33</w:t>
      </w:r>
      <w:r w:rsidRPr="00E35988">
        <w:rPr>
          <w:highlight w:val="white"/>
        </w:rPr>
        <w:t xml:space="preserve">(6), 565-576. </w:t>
      </w:r>
      <w:hyperlink r:id="rId43">
        <w:r w:rsidRPr="0071200C">
          <w:rPr>
            <w:rStyle w:val="Hyperlink"/>
          </w:rPr>
          <w:t>https://doi.org/10.1177/016502540934376</w:t>
        </w:r>
      </w:hyperlink>
      <w:hyperlink r:id="rId44">
        <w:r w:rsidRPr="0071200C">
          <w:rPr>
            <w:rStyle w:val="Hyperlink"/>
          </w:rPr>
          <w:t>5</w:t>
        </w:r>
        <w:r w:rsidRPr="00E35988">
          <w:rPr>
            <w:sz w:val="24"/>
            <w:szCs w:val="24"/>
            <w:highlight w:val="white"/>
            <w:u w:val="single"/>
          </w:rPr>
          <w:t xml:space="preserve"> </w:t>
        </w:r>
      </w:hyperlink>
    </w:p>
    <w:p w14:paraId="67E14EFC" w14:textId="77777777" w:rsidR="00106BFA" w:rsidRPr="00614D39" w:rsidRDefault="00106BFA" w:rsidP="008F261B">
      <w:pPr>
        <w:pStyle w:val="Referenties"/>
      </w:pPr>
      <w:proofErr w:type="spellStart"/>
      <w:r w:rsidRPr="00C04B7D">
        <w:t>Reitsema</w:t>
      </w:r>
      <w:proofErr w:type="spellEnd"/>
      <w:r w:rsidRPr="00C04B7D">
        <w:t xml:space="preserve">, A. M., </w:t>
      </w:r>
      <w:proofErr w:type="spellStart"/>
      <w:r w:rsidRPr="00C04B7D">
        <w:t>Jeronimus</w:t>
      </w:r>
      <w:proofErr w:type="spellEnd"/>
      <w:r w:rsidRPr="00C04B7D">
        <w:t xml:space="preserve">, B. F., Bos, E. H., De </w:t>
      </w:r>
      <w:proofErr w:type="spellStart"/>
      <w:r w:rsidRPr="00C04B7D">
        <w:t>Jonge</w:t>
      </w:r>
      <w:proofErr w:type="spellEnd"/>
      <w:r w:rsidRPr="00C04B7D">
        <w:t xml:space="preserve">, P., &amp; the </w:t>
      </w:r>
      <w:proofErr w:type="spellStart"/>
      <w:r w:rsidRPr="00C04B7D">
        <w:t>PsyCorona</w:t>
      </w:r>
      <w:proofErr w:type="spellEnd"/>
      <w:r w:rsidRPr="00C04B7D">
        <w:t xml:space="preserve"> project. </w:t>
      </w:r>
      <w:r w:rsidRPr="00614D39">
        <w:t>Positive and negative affect and lifespan theory: Hedonic adaptation to societal restrictions in 33 countries over the first 12 weeks of the 2020 coronavirus pandemic</w:t>
      </w:r>
      <w:r>
        <w:t xml:space="preserve">. In progress. </w:t>
      </w:r>
      <w:r w:rsidRPr="00614D39">
        <w:t xml:space="preserve"> </w:t>
      </w:r>
    </w:p>
    <w:p w14:paraId="49A0127B" w14:textId="77777777" w:rsidR="00106BFA" w:rsidRPr="00E35988" w:rsidRDefault="00106BFA" w:rsidP="008F261B">
      <w:pPr>
        <w:pStyle w:val="Referenties"/>
        <w:rPr>
          <w:rFonts w:eastAsia="Roboto"/>
          <w:color w:val="205493"/>
          <w:sz w:val="24"/>
          <w:szCs w:val="24"/>
          <w:highlight w:val="white"/>
        </w:rPr>
      </w:pPr>
      <w:r w:rsidRPr="00C04B7D">
        <w:t xml:space="preserve">Sandstrom, G. M., &amp; Dunn, E. W. (2014). </w:t>
      </w:r>
      <w:r w:rsidRPr="00E35988">
        <w:t xml:space="preserve">Social interactions and well-being: The surprising power of weak ties. </w:t>
      </w:r>
      <w:r w:rsidRPr="00E35988">
        <w:rPr>
          <w:i/>
        </w:rPr>
        <w:t>Personality and Social Psychology Bulletin, 40,</w:t>
      </w:r>
      <w:r w:rsidRPr="00E35988">
        <w:t xml:space="preserve"> 910–922. </w:t>
      </w:r>
      <w:hyperlink r:id="rId45">
        <w:r w:rsidRPr="0071200C">
          <w:rPr>
            <w:rStyle w:val="Hyperlink"/>
          </w:rPr>
          <w:t>https://doi.org/</w:t>
        </w:r>
      </w:hyperlink>
      <w:hyperlink r:id="rId46">
        <w:r w:rsidRPr="0071200C">
          <w:rPr>
            <w:rStyle w:val="Hyperlink"/>
          </w:rPr>
          <w:t>10.1177/0146167214529799</w:t>
        </w:r>
      </w:hyperlink>
      <w:r w:rsidRPr="00E35988">
        <w:rPr>
          <w:rFonts w:eastAsia="Roboto"/>
          <w:color w:val="205493"/>
          <w:sz w:val="24"/>
          <w:szCs w:val="24"/>
          <w:highlight w:val="white"/>
        </w:rPr>
        <w:t xml:space="preserve"> </w:t>
      </w:r>
    </w:p>
    <w:p w14:paraId="1CF1D8F8" w14:textId="77777777" w:rsidR="00106BFA" w:rsidRPr="00E35988" w:rsidRDefault="00106BFA" w:rsidP="008F261B">
      <w:pPr>
        <w:pStyle w:val="Referenties"/>
        <w:rPr>
          <w:highlight w:val="white"/>
          <w:u w:val="single"/>
        </w:rPr>
      </w:pPr>
      <w:r w:rsidRPr="00E35988">
        <w:t xml:space="preserve">Specht, J., </w:t>
      </w:r>
      <w:proofErr w:type="spellStart"/>
      <w:r w:rsidRPr="00E35988">
        <w:t>Egloff</w:t>
      </w:r>
      <w:proofErr w:type="spellEnd"/>
      <w:r w:rsidRPr="00E35988">
        <w:t xml:space="preserve">, B., &amp; </w:t>
      </w:r>
      <w:proofErr w:type="spellStart"/>
      <w:r w:rsidRPr="00E35988">
        <w:t>Schmukle</w:t>
      </w:r>
      <w:proofErr w:type="spellEnd"/>
      <w:r w:rsidRPr="00E35988">
        <w:t>, S. C. (2011). The benefits of believing in chance or fate. External locus of control as a protective factor for coping with the death of a spouse.</w:t>
      </w:r>
      <w:r w:rsidRPr="00E35988">
        <w:rPr>
          <w:i/>
        </w:rPr>
        <w:t xml:space="preserve"> Social Psychological &amp; Personality Science, 2,</w:t>
      </w:r>
      <w:r w:rsidRPr="00E35988">
        <w:t xml:space="preserve"> 132–137. </w:t>
      </w:r>
      <w:hyperlink r:id="rId47">
        <w:r w:rsidRPr="0071200C">
          <w:rPr>
            <w:rStyle w:val="Hyperlink"/>
          </w:rPr>
          <w:t>https://doi.org/10.1016/j.psychres.2020.113419</w:t>
        </w:r>
      </w:hyperlink>
    </w:p>
    <w:p w14:paraId="051D653C" w14:textId="77777777" w:rsidR="00106BFA" w:rsidRPr="00E35988" w:rsidRDefault="00106BFA" w:rsidP="008F261B">
      <w:pPr>
        <w:pStyle w:val="Referenties"/>
        <w:rPr>
          <w:highlight w:val="white"/>
          <w:u w:val="single"/>
        </w:rPr>
      </w:pPr>
      <w:r w:rsidRPr="00E35988">
        <w:rPr>
          <w:highlight w:val="white"/>
        </w:rPr>
        <w:t xml:space="preserve">Statistics Netherlands (CBS, 2021, April 6). </w:t>
      </w:r>
      <w:r w:rsidRPr="00E35988">
        <w:rPr>
          <w:i/>
          <w:iCs/>
          <w:highlight w:val="white"/>
        </w:rPr>
        <w:t>Personal well-being ratings virtually unchanged.</w:t>
      </w:r>
      <w:r w:rsidRPr="00E35988">
        <w:rPr>
          <w:highlight w:val="white"/>
          <w:u w:val="single"/>
        </w:rPr>
        <w:t xml:space="preserve"> </w:t>
      </w:r>
      <w:r w:rsidRPr="0071200C">
        <w:rPr>
          <w:rStyle w:val="Hyperlink"/>
        </w:rPr>
        <w:t>https://www.cbs.nl/en-gb/news/2021/13/personal-well-being-ratings-virtually-unchanged</w:t>
      </w:r>
    </w:p>
    <w:p w14:paraId="53C158AE" w14:textId="77777777" w:rsidR="00106BFA" w:rsidRPr="00E35988" w:rsidRDefault="00106BFA" w:rsidP="008F261B">
      <w:pPr>
        <w:pStyle w:val="Referenties"/>
      </w:pPr>
      <w:proofErr w:type="spellStart"/>
      <w:r w:rsidRPr="00E35988">
        <w:t>Thoits</w:t>
      </w:r>
      <w:proofErr w:type="spellEnd"/>
      <w:r w:rsidRPr="00E35988">
        <w:t>, P.A., 2011. Mechanisms linking social ties and support to physical and mental health.</w:t>
      </w:r>
      <w:r w:rsidRPr="00E35988">
        <w:rPr>
          <w:rFonts w:eastAsia="Arial"/>
          <w:color w:val="222222"/>
          <w:highlight w:val="white"/>
        </w:rPr>
        <w:t xml:space="preserve"> </w:t>
      </w:r>
      <w:r w:rsidRPr="00E35988">
        <w:rPr>
          <w:i/>
        </w:rPr>
        <w:t>Journal of Health and Social Behavior, 52</w:t>
      </w:r>
      <w:r w:rsidRPr="00E35988">
        <w:t xml:space="preserve">, 145–161. </w:t>
      </w:r>
      <w:r w:rsidRPr="0071200C">
        <w:rPr>
          <w:rStyle w:val="Hyperlink"/>
        </w:rPr>
        <w:t>https://doi.org/10.1177/0022146510395592</w:t>
      </w:r>
    </w:p>
    <w:p w14:paraId="3B73F9A8" w14:textId="77777777" w:rsidR="00106BFA" w:rsidRPr="00E35988" w:rsidRDefault="00106BFA" w:rsidP="008F261B">
      <w:pPr>
        <w:pStyle w:val="Referenties"/>
        <w:rPr>
          <w:u w:val="single"/>
        </w:rPr>
      </w:pPr>
      <w:r w:rsidRPr="00E35988">
        <w:t xml:space="preserve">Uchino, B.N., 2009. Understanding the links between social support and physical health: a life-span perspective with emphasis on the separability of perceived and received support. </w:t>
      </w:r>
      <w:r w:rsidRPr="00E35988">
        <w:rPr>
          <w:i/>
        </w:rPr>
        <w:t>Perspectives on psychological science, 4</w:t>
      </w:r>
      <w:r w:rsidRPr="00E35988">
        <w:t xml:space="preserve">(3), 236–255. </w:t>
      </w:r>
      <w:hyperlink r:id="rId48" w:history="1">
        <w:r w:rsidRPr="0071200C">
          <w:rPr>
            <w:rStyle w:val="Hyperlink"/>
          </w:rPr>
          <w:t>https://doi.org/10.1111/j.1745-6924. 2009.01122.x</w:t>
        </w:r>
      </w:hyperlink>
    </w:p>
    <w:p w14:paraId="6B3D71D4" w14:textId="77777777" w:rsidR="00106BFA" w:rsidRPr="00614D39" w:rsidRDefault="00106BFA" w:rsidP="008F261B">
      <w:pPr>
        <w:pStyle w:val="Referenties"/>
      </w:pPr>
      <w:proofErr w:type="spellStart"/>
      <w:r w:rsidRPr="00614D39">
        <w:lastRenderedPageBreak/>
        <w:t>Vindegaard</w:t>
      </w:r>
      <w:proofErr w:type="spellEnd"/>
      <w:r w:rsidRPr="00614D39">
        <w:t xml:space="preserve">, N., &amp; </w:t>
      </w:r>
      <w:proofErr w:type="spellStart"/>
      <w:r w:rsidRPr="00614D39">
        <w:t>Benros</w:t>
      </w:r>
      <w:proofErr w:type="spellEnd"/>
      <w:r w:rsidRPr="00614D39">
        <w:t>, M. E. (2020). COVID-19 pandemic and mental health consequences: Systematic review of the current evidence. </w:t>
      </w:r>
      <w:r w:rsidRPr="00614D39">
        <w:rPr>
          <w:i/>
          <w:iCs/>
        </w:rPr>
        <w:t>Brain, behavior, and immunity</w:t>
      </w:r>
      <w:r w:rsidRPr="00614D39">
        <w:t>, </w:t>
      </w:r>
      <w:r w:rsidRPr="00614D39">
        <w:rPr>
          <w:i/>
          <w:iCs/>
        </w:rPr>
        <w:t>89</w:t>
      </w:r>
      <w:r w:rsidRPr="00614D39">
        <w:t>, 531-542</w:t>
      </w:r>
      <w:r w:rsidRPr="00614D39">
        <w:rPr>
          <w:color w:val="000000" w:themeColor="text1"/>
        </w:rPr>
        <w:t xml:space="preserve">. </w:t>
      </w:r>
      <w:hyperlink r:id="rId49" w:tgtFrame="_blank" w:tooltip="Persistent link using digital object identifier" w:history="1">
        <w:r w:rsidRPr="0071200C">
          <w:rPr>
            <w:rStyle w:val="Hyperlink"/>
          </w:rPr>
          <w:t>https://doi.org/10.1016/j.bbi.2020.05.048</w:t>
        </w:r>
      </w:hyperlink>
    </w:p>
    <w:p w14:paraId="2F44BD04" w14:textId="77777777" w:rsidR="00106BFA" w:rsidRPr="00E35988" w:rsidRDefault="00106BFA" w:rsidP="008F261B">
      <w:pPr>
        <w:pStyle w:val="Referenties"/>
      </w:pPr>
      <w:proofErr w:type="spellStart"/>
      <w:r w:rsidRPr="00614D39">
        <w:t>Wijngaards</w:t>
      </w:r>
      <w:proofErr w:type="spellEnd"/>
      <w:r w:rsidRPr="00614D39">
        <w:t xml:space="preserve">, I., </w:t>
      </w:r>
      <w:proofErr w:type="spellStart"/>
      <w:r w:rsidRPr="00614D39">
        <w:t>Sisouw</w:t>
      </w:r>
      <w:proofErr w:type="spellEnd"/>
      <w:r w:rsidRPr="00614D39">
        <w:t xml:space="preserve"> de </w:t>
      </w:r>
      <w:proofErr w:type="spellStart"/>
      <w:r w:rsidRPr="00614D39">
        <w:t>Zilwa</w:t>
      </w:r>
      <w:proofErr w:type="spellEnd"/>
      <w:r w:rsidRPr="00614D39">
        <w:t xml:space="preserve">, S. C. M., &amp; Burger, M. J. (2020). </w:t>
      </w:r>
      <w:r w:rsidRPr="00E35988">
        <w:t xml:space="preserve">Extraversion moderates the relationship between the stringency of COVID-19 protective measures and depressive symptoms. </w:t>
      </w:r>
      <w:r w:rsidRPr="00E35988">
        <w:rPr>
          <w:i/>
          <w:iCs/>
        </w:rPr>
        <w:t>Frontiers in Psychology,</w:t>
      </w:r>
      <w:r w:rsidRPr="00E35988">
        <w:t xml:space="preserve"> 11. </w:t>
      </w:r>
      <w:r w:rsidRPr="0071200C">
        <w:rPr>
          <w:rStyle w:val="Hyperlink"/>
        </w:rPr>
        <w:t>https://doi.org/1</w:t>
      </w:r>
      <w:hyperlink r:id="rId50" w:history="1">
        <w:r w:rsidRPr="0071200C">
          <w:rPr>
            <w:rStyle w:val="Hyperlink"/>
          </w:rPr>
          <w:t>0.3389/fpsyg.2020.568907</w:t>
        </w:r>
      </w:hyperlink>
    </w:p>
    <w:p w14:paraId="7B14049D" w14:textId="77777777" w:rsidR="00106BFA" w:rsidRPr="00E35988" w:rsidRDefault="00106BFA" w:rsidP="008F261B">
      <w:pPr>
        <w:pStyle w:val="Referenties"/>
        <w:rPr>
          <w:highlight w:val="white"/>
          <w:u w:val="single"/>
          <w:lang w:val="nl-NL"/>
        </w:rPr>
      </w:pPr>
      <w:r w:rsidRPr="00E35988">
        <w:t xml:space="preserve">Wrzus, C., </w:t>
      </w:r>
      <w:proofErr w:type="spellStart"/>
      <w:r w:rsidRPr="00E35988">
        <w:t>Hanel</w:t>
      </w:r>
      <w:proofErr w:type="spellEnd"/>
      <w:r w:rsidRPr="00E35988">
        <w:t xml:space="preserve">, M., Wagner, J., </w:t>
      </w:r>
      <w:proofErr w:type="spellStart"/>
      <w:r w:rsidRPr="00E35988">
        <w:t>Neyer</w:t>
      </w:r>
      <w:proofErr w:type="spellEnd"/>
      <w:r w:rsidRPr="00E35988">
        <w:t xml:space="preserve">, F. J. (2013). Social network changes and life events across the life span: A meta-analysis. </w:t>
      </w:r>
      <w:proofErr w:type="spellStart"/>
      <w:r w:rsidRPr="00E35988">
        <w:rPr>
          <w:i/>
          <w:lang w:val="nl-NL"/>
        </w:rPr>
        <w:t>Psychological</w:t>
      </w:r>
      <w:proofErr w:type="spellEnd"/>
      <w:r w:rsidRPr="00E35988">
        <w:rPr>
          <w:i/>
          <w:lang w:val="nl-NL"/>
        </w:rPr>
        <w:t xml:space="preserve"> Bulletin, 139, </w:t>
      </w:r>
      <w:r w:rsidRPr="00E35988">
        <w:rPr>
          <w:lang w:val="nl-NL"/>
        </w:rPr>
        <w:t xml:space="preserve">53–80. </w:t>
      </w:r>
      <w:hyperlink r:id="rId51">
        <w:r w:rsidRPr="00B85446">
          <w:rPr>
            <w:rStyle w:val="Hyperlink"/>
            <w:lang w:val="nl-NL"/>
          </w:rPr>
          <w:t>https://doi.org/10.1037/a0028601</w:t>
        </w:r>
      </w:hyperlink>
    </w:p>
    <w:p w14:paraId="4A01E3C9" w14:textId="77777777" w:rsidR="00106BFA" w:rsidRPr="00E35988" w:rsidRDefault="00106BFA" w:rsidP="008F261B">
      <w:pPr>
        <w:pStyle w:val="Referenties"/>
      </w:pPr>
      <w:proofErr w:type="spellStart"/>
      <w:r w:rsidRPr="00E35988">
        <w:rPr>
          <w:highlight w:val="white"/>
          <w:lang w:val="nl-NL"/>
        </w:rPr>
        <w:t>Ziegler</w:t>
      </w:r>
      <w:proofErr w:type="spellEnd"/>
      <w:r w:rsidRPr="00E35988">
        <w:rPr>
          <w:highlight w:val="white"/>
          <w:lang w:val="nl-NL"/>
        </w:rPr>
        <w:t xml:space="preserve">, F., &amp; </w:t>
      </w:r>
      <w:proofErr w:type="spellStart"/>
      <w:r w:rsidRPr="00E35988">
        <w:rPr>
          <w:highlight w:val="white"/>
          <w:lang w:val="nl-NL"/>
        </w:rPr>
        <w:t>Schwanen</w:t>
      </w:r>
      <w:proofErr w:type="spellEnd"/>
      <w:r w:rsidRPr="00E35988">
        <w:rPr>
          <w:highlight w:val="white"/>
          <w:lang w:val="nl-NL"/>
        </w:rPr>
        <w:t xml:space="preserve">, T. (2011). </w:t>
      </w:r>
      <w:r w:rsidRPr="00E35988">
        <w:rPr>
          <w:highlight w:val="white"/>
        </w:rPr>
        <w:t xml:space="preserve">‘I like to go out to be </w:t>
      </w:r>
      <w:proofErr w:type="spellStart"/>
      <w:r w:rsidRPr="00E35988">
        <w:rPr>
          <w:highlight w:val="white"/>
        </w:rPr>
        <w:t>energised</w:t>
      </w:r>
      <w:proofErr w:type="spellEnd"/>
      <w:r w:rsidRPr="00E35988">
        <w:rPr>
          <w:highlight w:val="white"/>
        </w:rPr>
        <w:t xml:space="preserve"> by different people’: an exploratory analysis of mobility and wellbeing in later life.</w:t>
      </w:r>
      <w:r w:rsidRPr="00E35988">
        <w:rPr>
          <w:i/>
          <w:highlight w:val="white"/>
        </w:rPr>
        <w:t xml:space="preserve"> Ageing and Society, 31</w:t>
      </w:r>
      <w:r w:rsidRPr="00E35988">
        <w:rPr>
          <w:highlight w:val="white"/>
        </w:rPr>
        <w:t xml:space="preserve">(5). </w:t>
      </w:r>
      <w:hyperlink r:id="rId52" w:history="1">
        <w:r w:rsidRPr="0071200C">
          <w:rPr>
            <w:rStyle w:val="Hyperlink"/>
          </w:rPr>
          <w:t>https://dx.doi.org/10.1017/S0144686X10000498</w:t>
        </w:r>
      </w:hyperlink>
    </w:p>
    <w:p w14:paraId="458C6D76" w14:textId="77777777" w:rsidR="00106BFA" w:rsidRPr="00E35988" w:rsidRDefault="00106BFA" w:rsidP="008F261B">
      <w:pPr>
        <w:pStyle w:val="Referenties"/>
      </w:pPr>
    </w:p>
    <w:p w14:paraId="24FE8BAB" w14:textId="77777777" w:rsidR="00106BFA" w:rsidRPr="00F77D23" w:rsidRDefault="00106BFA" w:rsidP="008F261B">
      <w:pPr>
        <w:pStyle w:val="Referenties"/>
      </w:pPr>
    </w:p>
    <w:p w14:paraId="3139BD9C" w14:textId="77777777" w:rsidR="00F47000" w:rsidRDefault="00F47000" w:rsidP="008F261B"/>
    <w:p w14:paraId="4C3BE38A" w14:textId="0445E0CB" w:rsidR="00995D07" w:rsidRPr="00837CFF" w:rsidRDefault="00106BFA" w:rsidP="008F261B">
      <w:r>
        <w:br w:type="page"/>
      </w:r>
    </w:p>
    <w:p w14:paraId="17A4CB64" w14:textId="5F678457" w:rsidR="00837CFF" w:rsidRDefault="00995D07" w:rsidP="008F261B">
      <w:pPr>
        <w:pStyle w:val="Caption"/>
      </w:pPr>
      <w:r>
        <w:lastRenderedPageBreak/>
        <w:t xml:space="preserve">Table </w:t>
      </w:r>
      <w:r w:rsidR="00D54FF9">
        <w:fldChar w:fldCharType="begin"/>
      </w:r>
      <w:r w:rsidR="00D54FF9">
        <w:instrText xml:space="preserve"> SEQ Table \* ARABIC </w:instrText>
      </w:r>
      <w:r w:rsidR="00D54FF9">
        <w:fldChar w:fldCharType="separate"/>
      </w:r>
      <w:r w:rsidR="00837CFF">
        <w:rPr>
          <w:noProof/>
        </w:rPr>
        <w:t>1</w:t>
      </w:r>
      <w:r w:rsidR="00D54FF9">
        <w:rPr>
          <w:noProof/>
        </w:rPr>
        <w:fldChar w:fldCharType="end"/>
      </w:r>
    </w:p>
    <w:tbl>
      <w:tblPr>
        <w:tblStyle w:val="TableGrid"/>
        <w:tblW w:w="10485" w:type="dxa"/>
        <w:tblLook w:val="04A0" w:firstRow="1" w:lastRow="0" w:firstColumn="1" w:lastColumn="0" w:noHBand="0" w:noVBand="1"/>
      </w:tblPr>
      <w:tblGrid>
        <w:gridCol w:w="1505"/>
        <w:gridCol w:w="935"/>
        <w:gridCol w:w="2294"/>
        <w:gridCol w:w="4316"/>
        <w:gridCol w:w="1435"/>
      </w:tblGrid>
      <w:tr w:rsidR="00995D07" w14:paraId="28E82172" w14:textId="77777777" w:rsidTr="00995D07">
        <w:tc>
          <w:tcPr>
            <w:tcW w:w="1390" w:type="dxa"/>
          </w:tcPr>
          <w:p w14:paraId="09EFB14D" w14:textId="77777777" w:rsidR="00995D07" w:rsidRDefault="00995D07" w:rsidP="0038197B">
            <w:pPr>
              <w:pStyle w:val="Table"/>
            </w:pPr>
          </w:p>
        </w:tc>
        <w:tc>
          <w:tcPr>
            <w:tcW w:w="1052" w:type="dxa"/>
          </w:tcPr>
          <w:p w14:paraId="4B7185F4" w14:textId="24CF3C13" w:rsidR="00995D07" w:rsidRDefault="00995D07" w:rsidP="0038197B">
            <w:pPr>
              <w:pStyle w:val="Table"/>
            </w:pPr>
            <w:r w:rsidRPr="00E35988">
              <w:t>Wave</w:t>
            </w:r>
          </w:p>
        </w:tc>
        <w:tc>
          <w:tcPr>
            <w:tcW w:w="2772" w:type="dxa"/>
          </w:tcPr>
          <w:p w14:paraId="5D2CB735" w14:textId="3D405A67" w:rsidR="00995D07" w:rsidRDefault="00995D07" w:rsidP="0038197B">
            <w:pPr>
              <w:pStyle w:val="Table"/>
            </w:pPr>
            <w:r w:rsidRPr="00E35988">
              <w:t>Measure</w:t>
            </w:r>
          </w:p>
        </w:tc>
        <w:tc>
          <w:tcPr>
            <w:tcW w:w="3946" w:type="dxa"/>
          </w:tcPr>
          <w:p w14:paraId="177D56BB" w14:textId="68D8EF6B" w:rsidR="00995D07" w:rsidRDefault="00995D07" w:rsidP="0038197B">
            <w:pPr>
              <w:pStyle w:val="Table"/>
            </w:pPr>
            <w:r w:rsidRPr="00E35988">
              <w:t>Scale</w:t>
            </w:r>
          </w:p>
        </w:tc>
        <w:tc>
          <w:tcPr>
            <w:tcW w:w="1325" w:type="dxa"/>
          </w:tcPr>
          <w:p w14:paraId="3E74FBAE" w14:textId="6565B914" w:rsidR="00995D07" w:rsidRDefault="00995D07" w:rsidP="0038197B">
            <w:pPr>
              <w:pStyle w:val="Table"/>
            </w:pPr>
            <w:r w:rsidRPr="00E35988">
              <w:t>Variable</w:t>
            </w:r>
          </w:p>
        </w:tc>
      </w:tr>
      <w:tr w:rsidR="00995D07" w14:paraId="549E2923" w14:textId="77777777" w:rsidTr="002978C4">
        <w:tc>
          <w:tcPr>
            <w:tcW w:w="10485" w:type="dxa"/>
            <w:gridSpan w:val="5"/>
          </w:tcPr>
          <w:p w14:paraId="59B6CB32" w14:textId="512F0794" w:rsidR="00995D07" w:rsidRDefault="00995D07" w:rsidP="0038197B">
            <w:pPr>
              <w:pStyle w:val="Table"/>
            </w:pPr>
            <w:r w:rsidRPr="00E35988">
              <w:t>Dependent variable</w:t>
            </w:r>
          </w:p>
        </w:tc>
      </w:tr>
      <w:tr w:rsidR="00995D07" w14:paraId="7B16BCB8" w14:textId="77777777" w:rsidTr="00995D07">
        <w:tc>
          <w:tcPr>
            <w:tcW w:w="1390" w:type="dxa"/>
          </w:tcPr>
          <w:p w14:paraId="529CF3BD" w14:textId="0D0233DB" w:rsidR="00995D07" w:rsidRDefault="00995D07" w:rsidP="0038197B">
            <w:pPr>
              <w:pStyle w:val="Table"/>
            </w:pPr>
            <w:r w:rsidRPr="00E35988">
              <w:t>Happiness</w:t>
            </w:r>
          </w:p>
        </w:tc>
        <w:tc>
          <w:tcPr>
            <w:tcW w:w="1052" w:type="dxa"/>
          </w:tcPr>
          <w:p w14:paraId="6A3F7332" w14:textId="288C1148" w:rsidR="00995D07" w:rsidRDefault="00995D07" w:rsidP="0038197B">
            <w:pPr>
              <w:pStyle w:val="Table"/>
            </w:pPr>
            <w:r w:rsidRPr="00E35988">
              <w:t>B, w4, w5, w8, w11 t/m 20</w:t>
            </w:r>
          </w:p>
        </w:tc>
        <w:tc>
          <w:tcPr>
            <w:tcW w:w="2772" w:type="dxa"/>
          </w:tcPr>
          <w:p w14:paraId="1F3347B1" w14:textId="207FBDE4" w:rsidR="00995D07" w:rsidRDefault="00995D07" w:rsidP="0038197B">
            <w:pPr>
              <w:pStyle w:val="Table"/>
            </w:pPr>
            <w:r w:rsidRPr="00E35988">
              <w:t>In general, how happy would you say you are?</w:t>
            </w:r>
          </w:p>
        </w:tc>
        <w:tc>
          <w:tcPr>
            <w:tcW w:w="3946" w:type="dxa"/>
          </w:tcPr>
          <w:p w14:paraId="0D5214D1" w14:textId="5FA49949" w:rsidR="00995D07" w:rsidRDefault="00995D07" w:rsidP="0038197B">
            <w:pPr>
              <w:pStyle w:val="Table"/>
            </w:pPr>
            <w:r w:rsidRPr="00E35988">
              <w:t>Extremely unhappy (1) - Extremely happy (10)</w:t>
            </w:r>
          </w:p>
        </w:tc>
        <w:tc>
          <w:tcPr>
            <w:tcW w:w="1325" w:type="dxa"/>
          </w:tcPr>
          <w:p w14:paraId="20F53C4B" w14:textId="48996DF8" w:rsidR="00995D07" w:rsidRDefault="00995D07" w:rsidP="0038197B">
            <w:pPr>
              <w:pStyle w:val="Table"/>
            </w:pPr>
            <w:r w:rsidRPr="00E35988">
              <w:t>Scale, dependent variable</w:t>
            </w:r>
          </w:p>
        </w:tc>
      </w:tr>
      <w:tr w:rsidR="00995D07" w14:paraId="2FC0750D" w14:textId="77777777" w:rsidTr="009E5BDB">
        <w:tc>
          <w:tcPr>
            <w:tcW w:w="10485" w:type="dxa"/>
            <w:gridSpan w:val="5"/>
          </w:tcPr>
          <w:p w14:paraId="495728AE" w14:textId="1FC8CD91" w:rsidR="00995D07" w:rsidRDefault="00995D07" w:rsidP="0038197B">
            <w:pPr>
              <w:pStyle w:val="Table"/>
            </w:pPr>
            <w:r w:rsidRPr="00E35988">
              <w:t>Social interaction predictors</w:t>
            </w:r>
          </w:p>
        </w:tc>
      </w:tr>
      <w:tr w:rsidR="00995D07" w14:paraId="62852EFA" w14:textId="77777777" w:rsidTr="00995D07">
        <w:tc>
          <w:tcPr>
            <w:tcW w:w="1390" w:type="dxa"/>
          </w:tcPr>
          <w:p w14:paraId="05574566" w14:textId="02EE00CB" w:rsidR="00995D07" w:rsidRDefault="00995D07" w:rsidP="0038197B">
            <w:pPr>
              <w:pStyle w:val="Table"/>
            </w:pPr>
            <w:r w:rsidRPr="00E35988">
              <w:t>Close contact</w:t>
            </w:r>
          </w:p>
        </w:tc>
        <w:tc>
          <w:tcPr>
            <w:tcW w:w="1052" w:type="dxa"/>
          </w:tcPr>
          <w:p w14:paraId="000E0D16" w14:textId="7FA10FEF" w:rsidR="00995D07" w:rsidRDefault="00995D07" w:rsidP="0038197B">
            <w:pPr>
              <w:pStyle w:val="Table"/>
            </w:pPr>
            <w:r w:rsidRPr="00E35988">
              <w:t>B, w1-20</w:t>
            </w:r>
          </w:p>
        </w:tc>
        <w:tc>
          <w:tcPr>
            <w:tcW w:w="2772" w:type="dxa"/>
          </w:tcPr>
          <w:p w14:paraId="3618ACDB" w14:textId="60ED39C3" w:rsidR="00995D07" w:rsidRDefault="00995D07" w:rsidP="0038197B">
            <w:pPr>
              <w:pStyle w:val="Table"/>
            </w:pPr>
            <w:r w:rsidRPr="00E35988">
              <w:t>In the past 7 days, how many days have you had in-person (face-to-face) contact with friends or relatives?</w:t>
            </w:r>
          </w:p>
        </w:tc>
        <w:tc>
          <w:tcPr>
            <w:tcW w:w="3946" w:type="dxa"/>
          </w:tcPr>
          <w:p w14:paraId="6BAC194F" w14:textId="07CDDB04" w:rsidR="00995D07" w:rsidRDefault="00995D07" w:rsidP="0038197B">
            <w:pPr>
              <w:pStyle w:val="Table"/>
            </w:pPr>
            <w:r w:rsidRPr="00E35988">
              <w:t>0-7</w:t>
            </w:r>
          </w:p>
        </w:tc>
        <w:tc>
          <w:tcPr>
            <w:tcW w:w="1325" w:type="dxa"/>
          </w:tcPr>
          <w:p w14:paraId="4453EBAD" w14:textId="7F57CE83" w:rsidR="00995D07" w:rsidRDefault="00995D07" w:rsidP="0038197B">
            <w:pPr>
              <w:pStyle w:val="Table"/>
            </w:pPr>
            <w:r w:rsidRPr="00E35988">
              <w:t>Scale, level 1 predictor</w:t>
            </w:r>
          </w:p>
        </w:tc>
      </w:tr>
      <w:tr w:rsidR="00995D07" w14:paraId="6BEFC995" w14:textId="77777777" w:rsidTr="00995D07">
        <w:tc>
          <w:tcPr>
            <w:tcW w:w="1390" w:type="dxa"/>
          </w:tcPr>
          <w:p w14:paraId="2A681293" w14:textId="669A8248" w:rsidR="00995D07" w:rsidRDefault="00995D07" w:rsidP="0038197B">
            <w:pPr>
              <w:pStyle w:val="Table"/>
            </w:pPr>
            <w:r w:rsidRPr="00E35988">
              <w:t>Other contact</w:t>
            </w:r>
          </w:p>
        </w:tc>
        <w:tc>
          <w:tcPr>
            <w:tcW w:w="1052" w:type="dxa"/>
          </w:tcPr>
          <w:p w14:paraId="759D5E80" w14:textId="5084E663" w:rsidR="00995D07" w:rsidRDefault="00995D07" w:rsidP="0038197B">
            <w:pPr>
              <w:pStyle w:val="Table"/>
            </w:pPr>
            <w:r w:rsidRPr="00E35988">
              <w:t>B, w1-20</w:t>
            </w:r>
          </w:p>
        </w:tc>
        <w:tc>
          <w:tcPr>
            <w:tcW w:w="2772" w:type="dxa"/>
          </w:tcPr>
          <w:p w14:paraId="313F512F" w14:textId="158742D4" w:rsidR="00995D07" w:rsidRDefault="00995D07" w:rsidP="0038197B">
            <w:pPr>
              <w:pStyle w:val="Table"/>
            </w:pPr>
            <w:r w:rsidRPr="00E35988">
              <w:t>In the past 7 days, how many days have you had in-person (face-to-face) contact with other people in general?</w:t>
            </w:r>
          </w:p>
        </w:tc>
        <w:tc>
          <w:tcPr>
            <w:tcW w:w="3946" w:type="dxa"/>
          </w:tcPr>
          <w:p w14:paraId="651A3524" w14:textId="011B70D9" w:rsidR="00995D07" w:rsidRDefault="00995D07" w:rsidP="0038197B">
            <w:pPr>
              <w:pStyle w:val="Table"/>
            </w:pPr>
            <w:r w:rsidRPr="00E35988">
              <w:t>0-7</w:t>
            </w:r>
          </w:p>
        </w:tc>
        <w:tc>
          <w:tcPr>
            <w:tcW w:w="1325" w:type="dxa"/>
          </w:tcPr>
          <w:p w14:paraId="39758157" w14:textId="14C4E04B" w:rsidR="00995D07" w:rsidRDefault="00995D07" w:rsidP="0038197B">
            <w:pPr>
              <w:pStyle w:val="Table"/>
            </w:pPr>
            <w:r w:rsidRPr="00E35988">
              <w:t>Scale, level 1 predictor</w:t>
            </w:r>
          </w:p>
        </w:tc>
      </w:tr>
      <w:tr w:rsidR="00995D07" w14:paraId="5A43DA01" w14:textId="77777777" w:rsidTr="00995D07">
        <w:tc>
          <w:tcPr>
            <w:tcW w:w="1390" w:type="dxa"/>
          </w:tcPr>
          <w:p w14:paraId="6915574E" w14:textId="5FDD5E35" w:rsidR="00995D07" w:rsidRDefault="00995D07" w:rsidP="0038197B">
            <w:pPr>
              <w:pStyle w:val="Table"/>
            </w:pPr>
            <w:r w:rsidRPr="00E35988">
              <w:t>Close online</w:t>
            </w:r>
          </w:p>
        </w:tc>
        <w:tc>
          <w:tcPr>
            <w:tcW w:w="1052" w:type="dxa"/>
          </w:tcPr>
          <w:p w14:paraId="72C3470A" w14:textId="4A740F1A" w:rsidR="00995D07" w:rsidRDefault="00995D07" w:rsidP="0038197B">
            <w:pPr>
              <w:pStyle w:val="Table"/>
            </w:pPr>
            <w:r w:rsidRPr="00E35988">
              <w:t>B, w1-20</w:t>
            </w:r>
          </w:p>
        </w:tc>
        <w:tc>
          <w:tcPr>
            <w:tcW w:w="2772" w:type="dxa"/>
          </w:tcPr>
          <w:p w14:paraId="48894690" w14:textId="6174338E" w:rsidR="00995D07" w:rsidRDefault="00995D07" w:rsidP="0038197B">
            <w:pPr>
              <w:pStyle w:val="Table"/>
            </w:pPr>
            <w:r w:rsidRPr="00E35988">
              <w:t>In the past 7 days, how many days did you have online (video or voice) contact with friends or relatives?</w:t>
            </w:r>
          </w:p>
        </w:tc>
        <w:tc>
          <w:tcPr>
            <w:tcW w:w="3946" w:type="dxa"/>
          </w:tcPr>
          <w:p w14:paraId="5564ECEF" w14:textId="41EAC9FE" w:rsidR="00995D07" w:rsidRDefault="00995D07" w:rsidP="0038197B">
            <w:pPr>
              <w:pStyle w:val="Table"/>
            </w:pPr>
            <w:r w:rsidRPr="00E35988">
              <w:t>0-7</w:t>
            </w:r>
          </w:p>
        </w:tc>
        <w:tc>
          <w:tcPr>
            <w:tcW w:w="1325" w:type="dxa"/>
          </w:tcPr>
          <w:p w14:paraId="1BE278E0" w14:textId="6753F554" w:rsidR="00995D07" w:rsidRDefault="00995D07" w:rsidP="0038197B">
            <w:pPr>
              <w:pStyle w:val="Table"/>
            </w:pPr>
            <w:r w:rsidRPr="00E35988">
              <w:t>Scale, level 1 predictor</w:t>
            </w:r>
          </w:p>
        </w:tc>
      </w:tr>
      <w:tr w:rsidR="00995D07" w14:paraId="41A4EDC2" w14:textId="77777777" w:rsidTr="00995D07">
        <w:tc>
          <w:tcPr>
            <w:tcW w:w="1390" w:type="dxa"/>
          </w:tcPr>
          <w:p w14:paraId="780F2DC7" w14:textId="1AF7927A" w:rsidR="00995D07" w:rsidRDefault="00995D07" w:rsidP="0038197B">
            <w:pPr>
              <w:pStyle w:val="Table"/>
            </w:pPr>
            <w:r w:rsidRPr="00E35988">
              <w:t>Other online</w:t>
            </w:r>
          </w:p>
        </w:tc>
        <w:tc>
          <w:tcPr>
            <w:tcW w:w="1052" w:type="dxa"/>
          </w:tcPr>
          <w:p w14:paraId="795C2E31" w14:textId="26BB0892" w:rsidR="00995D07" w:rsidRDefault="00995D07" w:rsidP="0038197B">
            <w:pPr>
              <w:pStyle w:val="Table"/>
            </w:pPr>
            <w:r w:rsidRPr="00E35988">
              <w:t>B, w1-20</w:t>
            </w:r>
          </w:p>
        </w:tc>
        <w:tc>
          <w:tcPr>
            <w:tcW w:w="2772" w:type="dxa"/>
          </w:tcPr>
          <w:p w14:paraId="6064F43A" w14:textId="70448FFE" w:rsidR="00995D07" w:rsidRDefault="00995D07" w:rsidP="0038197B">
            <w:pPr>
              <w:pStyle w:val="Table"/>
            </w:pPr>
            <w:r w:rsidRPr="00E35988">
              <w:t>In the past 7 days, how many days did you have online (video or voice) contact with other people in general?</w:t>
            </w:r>
          </w:p>
        </w:tc>
        <w:tc>
          <w:tcPr>
            <w:tcW w:w="3946" w:type="dxa"/>
          </w:tcPr>
          <w:p w14:paraId="1BFA3A9A" w14:textId="11550401" w:rsidR="00995D07" w:rsidRDefault="00995D07" w:rsidP="0038197B">
            <w:pPr>
              <w:pStyle w:val="Table"/>
            </w:pPr>
            <w:r w:rsidRPr="00E35988">
              <w:t>0-7</w:t>
            </w:r>
          </w:p>
        </w:tc>
        <w:tc>
          <w:tcPr>
            <w:tcW w:w="1325" w:type="dxa"/>
          </w:tcPr>
          <w:p w14:paraId="69A6DE24" w14:textId="0587503E" w:rsidR="00995D07" w:rsidRDefault="00995D07" w:rsidP="0038197B">
            <w:pPr>
              <w:pStyle w:val="Table"/>
            </w:pPr>
            <w:r w:rsidRPr="00E35988">
              <w:t>Scale, level 1 predictor</w:t>
            </w:r>
          </w:p>
        </w:tc>
      </w:tr>
      <w:tr w:rsidR="00995D07" w14:paraId="7FE0359F" w14:textId="77777777" w:rsidTr="00995D07">
        <w:tc>
          <w:tcPr>
            <w:tcW w:w="1390" w:type="dxa"/>
          </w:tcPr>
          <w:p w14:paraId="6F420DC8" w14:textId="331DFEA4" w:rsidR="00995D07" w:rsidRDefault="00995D07" w:rsidP="0038197B">
            <w:pPr>
              <w:pStyle w:val="Table"/>
            </w:pPr>
            <w:r w:rsidRPr="00E35988">
              <w:t>Leave house</w:t>
            </w:r>
          </w:p>
        </w:tc>
        <w:tc>
          <w:tcPr>
            <w:tcW w:w="1052" w:type="dxa"/>
          </w:tcPr>
          <w:p w14:paraId="5417977C" w14:textId="20BEA230" w:rsidR="00995D07" w:rsidRDefault="00995D07" w:rsidP="0038197B">
            <w:pPr>
              <w:pStyle w:val="Table"/>
            </w:pPr>
            <w:r w:rsidRPr="00E35988">
              <w:t>B, w1-20</w:t>
            </w:r>
          </w:p>
        </w:tc>
        <w:tc>
          <w:tcPr>
            <w:tcW w:w="2772" w:type="dxa"/>
          </w:tcPr>
          <w:p w14:paraId="281B4431" w14:textId="4C60BF4A" w:rsidR="00995D07" w:rsidRDefault="00995D07" w:rsidP="0038197B">
            <w:pPr>
              <w:pStyle w:val="Table"/>
            </w:pPr>
            <w:r w:rsidRPr="00E35988">
              <w:t>In the past week, how often did you leave your home?</w:t>
            </w:r>
          </w:p>
        </w:tc>
        <w:tc>
          <w:tcPr>
            <w:tcW w:w="3946" w:type="dxa"/>
          </w:tcPr>
          <w:p w14:paraId="3913E4F7" w14:textId="36974809" w:rsidR="00995D07" w:rsidRDefault="00995D07" w:rsidP="0038197B">
            <w:pPr>
              <w:pStyle w:val="Table"/>
            </w:pPr>
            <w:r w:rsidRPr="00E35988">
              <w:t>I did not leave my home; Once or Twice; Three times; Four times or more</w:t>
            </w:r>
          </w:p>
        </w:tc>
        <w:tc>
          <w:tcPr>
            <w:tcW w:w="1325" w:type="dxa"/>
          </w:tcPr>
          <w:p w14:paraId="4B43B76A" w14:textId="64B3460D" w:rsidR="00995D07" w:rsidRDefault="00995D07" w:rsidP="0038197B">
            <w:pPr>
              <w:pStyle w:val="Table"/>
            </w:pPr>
            <w:r w:rsidRPr="00E35988">
              <w:t>Ordinal, level 1 predictor</w:t>
            </w:r>
          </w:p>
        </w:tc>
      </w:tr>
      <w:tr w:rsidR="00995D07" w14:paraId="7AB433A0" w14:textId="77777777" w:rsidTr="00995D07">
        <w:tc>
          <w:tcPr>
            <w:tcW w:w="1390" w:type="dxa"/>
          </w:tcPr>
          <w:p w14:paraId="577605FA" w14:textId="4C93572F" w:rsidR="00995D07" w:rsidRDefault="00995D07" w:rsidP="0038197B">
            <w:pPr>
              <w:pStyle w:val="Table"/>
            </w:pPr>
            <w:r w:rsidRPr="00E35988">
              <w:t>Leave house why</w:t>
            </w:r>
          </w:p>
        </w:tc>
        <w:tc>
          <w:tcPr>
            <w:tcW w:w="1052" w:type="dxa"/>
          </w:tcPr>
          <w:p w14:paraId="65D03357" w14:textId="4B848695" w:rsidR="00995D07" w:rsidRDefault="00995D07" w:rsidP="0038197B">
            <w:pPr>
              <w:pStyle w:val="Table"/>
            </w:pPr>
            <w:r w:rsidRPr="00E35988">
              <w:t>B, w1-20</w:t>
            </w:r>
          </w:p>
        </w:tc>
        <w:tc>
          <w:tcPr>
            <w:tcW w:w="2772" w:type="dxa"/>
          </w:tcPr>
          <w:p w14:paraId="7F4E838B" w14:textId="362BDA2C" w:rsidR="00995D07" w:rsidRDefault="00995D07" w:rsidP="0038197B">
            <w:pPr>
              <w:pStyle w:val="Table"/>
            </w:pPr>
            <w:r w:rsidRPr="00E35988">
              <w:t>In the previous question, you have indicated that in the past week, you left the home at least once. What were the reasons for leaving your home? (Select all that apply)</w:t>
            </w:r>
          </w:p>
        </w:tc>
        <w:tc>
          <w:tcPr>
            <w:tcW w:w="3946" w:type="dxa"/>
          </w:tcPr>
          <w:p w14:paraId="02195DC4" w14:textId="4B5D8DDE" w:rsidR="00995D07" w:rsidRDefault="00995D07" w:rsidP="0038197B">
            <w:pPr>
              <w:pStyle w:val="Table"/>
            </w:pPr>
            <w:r w:rsidRPr="00E35988">
              <w:t>I had to go to work; I had errands to run; Doing something for another person (e.g., helping with groceries); For leisure purposes with others (e.g., meeting up with friends, seeing family, going to the cinema etc.); For leisure purposes alone (e.g., running, going for a walk etc.); Other, please specify</w:t>
            </w:r>
          </w:p>
        </w:tc>
        <w:tc>
          <w:tcPr>
            <w:tcW w:w="1325" w:type="dxa"/>
          </w:tcPr>
          <w:p w14:paraId="222EDBD5" w14:textId="5F186D37" w:rsidR="00995D07" w:rsidRDefault="00995D07" w:rsidP="0038197B">
            <w:pPr>
              <w:pStyle w:val="Table"/>
            </w:pPr>
            <w:r w:rsidRPr="00E35988">
              <w:t>Dummy per category, for possible post-hoc analyses</w:t>
            </w:r>
          </w:p>
        </w:tc>
      </w:tr>
      <w:tr w:rsidR="00995D07" w14:paraId="4BE279BE" w14:textId="77777777" w:rsidTr="004E79E0">
        <w:tc>
          <w:tcPr>
            <w:tcW w:w="10485" w:type="dxa"/>
            <w:gridSpan w:val="5"/>
          </w:tcPr>
          <w:p w14:paraId="3C34AD20" w14:textId="4A6EE0D9" w:rsidR="00995D07" w:rsidRDefault="00995D07" w:rsidP="0038197B">
            <w:pPr>
              <w:pStyle w:val="Table"/>
            </w:pPr>
            <w:r w:rsidRPr="0090478C">
              <w:t xml:space="preserve">Severity of </w:t>
            </w:r>
            <w:r>
              <w:t>social</w:t>
            </w:r>
            <w:r w:rsidRPr="0090478C">
              <w:t xml:space="preserve"> restrictions</w:t>
            </w:r>
          </w:p>
        </w:tc>
      </w:tr>
      <w:tr w:rsidR="00995D07" w14:paraId="5969C822" w14:textId="77777777" w:rsidTr="00995D07">
        <w:tc>
          <w:tcPr>
            <w:tcW w:w="1390" w:type="dxa"/>
          </w:tcPr>
          <w:p w14:paraId="4A65550D" w14:textId="1B8F7B50" w:rsidR="00995D07" w:rsidRDefault="00995D07" w:rsidP="0038197B">
            <w:pPr>
              <w:pStyle w:val="Table"/>
            </w:pPr>
            <w:r w:rsidRPr="00E35988">
              <w:t>Stringency</w:t>
            </w:r>
          </w:p>
        </w:tc>
        <w:tc>
          <w:tcPr>
            <w:tcW w:w="1052" w:type="dxa"/>
          </w:tcPr>
          <w:p w14:paraId="2C7CA432" w14:textId="6A7A73D7" w:rsidR="00995D07" w:rsidRDefault="00995D07" w:rsidP="0038197B">
            <w:pPr>
              <w:pStyle w:val="Table"/>
            </w:pPr>
            <w:r w:rsidRPr="00E35988">
              <w:t>Per day</w:t>
            </w:r>
          </w:p>
        </w:tc>
        <w:tc>
          <w:tcPr>
            <w:tcW w:w="2772" w:type="dxa"/>
          </w:tcPr>
          <w:p w14:paraId="44B3EF26" w14:textId="76BAFFC1" w:rsidR="00995D07" w:rsidRDefault="00995D07" w:rsidP="0038197B">
            <w:pPr>
              <w:pStyle w:val="Table"/>
            </w:pPr>
            <w:r w:rsidRPr="00E35988">
              <w:t>Oxford government response tracker</w:t>
            </w:r>
          </w:p>
        </w:tc>
        <w:tc>
          <w:tcPr>
            <w:tcW w:w="3946" w:type="dxa"/>
          </w:tcPr>
          <w:p w14:paraId="45EA6E9A" w14:textId="7EF28A97" w:rsidR="00995D07" w:rsidRDefault="00995D07" w:rsidP="0038197B">
            <w:pPr>
              <w:pStyle w:val="Table"/>
            </w:pPr>
            <w:r w:rsidRPr="00E35988">
              <w:t>https://www.bsg.ox.ac.uk/research/research-projects/coronavirus-government-response-tracker</w:t>
            </w:r>
          </w:p>
        </w:tc>
        <w:tc>
          <w:tcPr>
            <w:tcW w:w="1325" w:type="dxa"/>
          </w:tcPr>
          <w:p w14:paraId="4DA1F611" w14:textId="39BBD03F" w:rsidR="00995D07" w:rsidRDefault="00995D07" w:rsidP="0038197B">
            <w:pPr>
              <w:pStyle w:val="Table"/>
            </w:pPr>
            <w:r w:rsidRPr="00E35988">
              <w:t>Scale, level 1 predictor</w:t>
            </w:r>
          </w:p>
        </w:tc>
      </w:tr>
      <w:tr w:rsidR="00995D07" w14:paraId="4DF3B535" w14:textId="77777777" w:rsidTr="00995D07">
        <w:tc>
          <w:tcPr>
            <w:tcW w:w="1390" w:type="dxa"/>
          </w:tcPr>
          <w:p w14:paraId="4A2FB803" w14:textId="7530D16F" w:rsidR="00995D07" w:rsidRDefault="00995D07" w:rsidP="0038197B">
            <w:pPr>
              <w:pStyle w:val="Table"/>
            </w:pPr>
            <w:r w:rsidRPr="00E35988">
              <w:lastRenderedPageBreak/>
              <w:t>Subjective personal characteristics as predictors</w:t>
            </w:r>
          </w:p>
        </w:tc>
        <w:tc>
          <w:tcPr>
            <w:tcW w:w="1052" w:type="dxa"/>
          </w:tcPr>
          <w:p w14:paraId="23B32801" w14:textId="77777777" w:rsidR="00995D07" w:rsidRDefault="00995D07" w:rsidP="0038197B">
            <w:pPr>
              <w:pStyle w:val="Table"/>
            </w:pPr>
          </w:p>
        </w:tc>
        <w:tc>
          <w:tcPr>
            <w:tcW w:w="2772" w:type="dxa"/>
          </w:tcPr>
          <w:p w14:paraId="2B126AD5" w14:textId="77777777" w:rsidR="00995D07" w:rsidRDefault="00995D07" w:rsidP="0038197B">
            <w:pPr>
              <w:pStyle w:val="Table"/>
            </w:pPr>
          </w:p>
        </w:tc>
        <w:tc>
          <w:tcPr>
            <w:tcW w:w="3946" w:type="dxa"/>
          </w:tcPr>
          <w:p w14:paraId="7C993741" w14:textId="77777777" w:rsidR="00995D07" w:rsidRDefault="00995D07" w:rsidP="0038197B">
            <w:pPr>
              <w:pStyle w:val="Table"/>
            </w:pPr>
          </w:p>
        </w:tc>
        <w:tc>
          <w:tcPr>
            <w:tcW w:w="1325" w:type="dxa"/>
          </w:tcPr>
          <w:p w14:paraId="1CE9BC91" w14:textId="77777777" w:rsidR="00995D07" w:rsidRDefault="00995D07" w:rsidP="0038197B">
            <w:pPr>
              <w:pStyle w:val="Table"/>
            </w:pPr>
          </w:p>
        </w:tc>
      </w:tr>
      <w:tr w:rsidR="00995D07" w14:paraId="5EC95BDC" w14:textId="77777777" w:rsidTr="00995D07">
        <w:tc>
          <w:tcPr>
            <w:tcW w:w="1390" w:type="dxa"/>
          </w:tcPr>
          <w:p w14:paraId="197B8461" w14:textId="6CDF7347" w:rsidR="00995D07" w:rsidRDefault="00995D07" w:rsidP="0038197B">
            <w:pPr>
              <w:pStyle w:val="Table"/>
            </w:pPr>
            <w:r w:rsidRPr="00E35988">
              <w:t>Satisfaction w. relationships</w:t>
            </w:r>
          </w:p>
        </w:tc>
        <w:tc>
          <w:tcPr>
            <w:tcW w:w="1052" w:type="dxa"/>
          </w:tcPr>
          <w:p w14:paraId="329233B6" w14:textId="5356509F" w:rsidR="00995D07" w:rsidRDefault="00995D07" w:rsidP="0038197B">
            <w:pPr>
              <w:pStyle w:val="Table"/>
            </w:pPr>
            <w:r w:rsidRPr="00E35988">
              <w:t>B, w1-20</w:t>
            </w:r>
          </w:p>
        </w:tc>
        <w:tc>
          <w:tcPr>
            <w:tcW w:w="2772" w:type="dxa"/>
          </w:tcPr>
          <w:p w14:paraId="315FB7E8" w14:textId="77777777" w:rsidR="00995D07" w:rsidRPr="00E35988" w:rsidRDefault="00995D07" w:rsidP="0038197B">
            <w:pPr>
              <w:pStyle w:val="Table"/>
            </w:pPr>
            <w:r w:rsidRPr="00E35988">
              <w:t>In general, how satisfied are you with your personal relationships? (baseline)</w:t>
            </w:r>
          </w:p>
          <w:p w14:paraId="2DD6A8FB" w14:textId="401F1872" w:rsidR="00995D07" w:rsidRDefault="00995D07" w:rsidP="0038197B">
            <w:pPr>
              <w:pStyle w:val="Table"/>
            </w:pPr>
            <w:r w:rsidRPr="00E35988">
              <w:t>In the last week, how satisfied were you with your personal relationships?</w:t>
            </w:r>
          </w:p>
        </w:tc>
        <w:tc>
          <w:tcPr>
            <w:tcW w:w="3946" w:type="dxa"/>
          </w:tcPr>
          <w:p w14:paraId="1F1D7330" w14:textId="03F9AD1A" w:rsidR="00995D07" w:rsidRDefault="00995D07" w:rsidP="0038197B">
            <w:pPr>
              <w:pStyle w:val="Table"/>
            </w:pPr>
            <w:r w:rsidRPr="00E35988">
              <w:t>Extremely unsatisfied (1) - Extremely satisfied (10</w:t>
            </w:r>
          </w:p>
        </w:tc>
        <w:tc>
          <w:tcPr>
            <w:tcW w:w="1325" w:type="dxa"/>
          </w:tcPr>
          <w:p w14:paraId="47D8AF49" w14:textId="1C727033" w:rsidR="00995D07" w:rsidRDefault="00995D07" w:rsidP="0038197B">
            <w:pPr>
              <w:pStyle w:val="Table"/>
            </w:pPr>
            <w:r w:rsidRPr="00E35988">
              <w:t>Scale, level 1 predictor</w:t>
            </w:r>
          </w:p>
        </w:tc>
      </w:tr>
      <w:tr w:rsidR="00995D07" w14:paraId="3FD14A59" w14:textId="77777777" w:rsidTr="00995D07">
        <w:tc>
          <w:tcPr>
            <w:tcW w:w="1390" w:type="dxa"/>
          </w:tcPr>
          <w:p w14:paraId="6DD5E6AE" w14:textId="6D471F61" w:rsidR="00995D07" w:rsidRDefault="00995D07" w:rsidP="0038197B">
            <w:pPr>
              <w:pStyle w:val="Table"/>
            </w:pPr>
            <w:r w:rsidRPr="00E35988">
              <w:t>Loneliness</w:t>
            </w:r>
          </w:p>
        </w:tc>
        <w:tc>
          <w:tcPr>
            <w:tcW w:w="1052" w:type="dxa"/>
          </w:tcPr>
          <w:p w14:paraId="41FF804C" w14:textId="5C8BB7AF" w:rsidR="00995D07" w:rsidRDefault="00995D07" w:rsidP="0038197B">
            <w:pPr>
              <w:pStyle w:val="Table"/>
            </w:pPr>
            <w:r w:rsidRPr="00E35988">
              <w:t>B, w1-20</w:t>
            </w:r>
          </w:p>
        </w:tc>
        <w:tc>
          <w:tcPr>
            <w:tcW w:w="2772" w:type="dxa"/>
          </w:tcPr>
          <w:p w14:paraId="01E9AA6C" w14:textId="7712A0B1" w:rsidR="00995D07" w:rsidRDefault="00995D07" w:rsidP="0038197B">
            <w:pPr>
              <w:pStyle w:val="Table"/>
            </w:pPr>
            <w:r w:rsidRPr="00E35988">
              <w:t>During the past week, did you feel lonely?</w:t>
            </w:r>
          </w:p>
        </w:tc>
        <w:tc>
          <w:tcPr>
            <w:tcW w:w="3946" w:type="dxa"/>
          </w:tcPr>
          <w:p w14:paraId="7C3B974B" w14:textId="20ABAAA0" w:rsidR="00995D07" w:rsidRDefault="00995D07" w:rsidP="0038197B">
            <w:pPr>
              <w:pStyle w:val="Table"/>
            </w:pPr>
            <w:r w:rsidRPr="00E35988">
              <w:t>Never (1) - All of the time (5)</w:t>
            </w:r>
          </w:p>
        </w:tc>
        <w:tc>
          <w:tcPr>
            <w:tcW w:w="1325" w:type="dxa"/>
          </w:tcPr>
          <w:p w14:paraId="152822F2" w14:textId="74BD8D92" w:rsidR="00995D07" w:rsidRDefault="00995D07" w:rsidP="0038197B">
            <w:pPr>
              <w:pStyle w:val="Table"/>
            </w:pPr>
            <w:r w:rsidRPr="00E35988">
              <w:t>Scale, level 1 predictor</w:t>
            </w:r>
          </w:p>
        </w:tc>
      </w:tr>
      <w:tr w:rsidR="00995D07" w14:paraId="40BAAC7E" w14:textId="77777777" w:rsidTr="00995D07">
        <w:tc>
          <w:tcPr>
            <w:tcW w:w="1390" w:type="dxa"/>
          </w:tcPr>
          <w:p w14:paraId="5B1E0728" w14:textId="26ED04E4" w:rsidR="00995D07" w:rsidRDefault="00995D07" w:rsidP="0038197B">
            <w:pPr>
              <w:pStyle w:val="Table"/>
            </w:pPr>
            <w:r w:rsidRPr="00E35988">
              <w:t>Neuroticism</w:t>
            </w:r>
          </w:p>
        </w:tc>
        <w:tc>
          <w:tcPr>
            <w:tcW w:w="1052" w:type="dxa"/>
          </w:tcPr>
          <w:p w14:paraId="2A0566AB" w14:textId="6DE15333" w:rsidR="00995D07" w:rsidRDefault="00995D07" w:rsidP="0038197B">
            <w:pPr>
              <w:pStyle w:val="Table"/>
            </w:pPr>
            <w:r w:rsidRPr="00E35988">
              <w:t>B, w6, w10, w12-20</w:t>
            </w:r>
          </w:p>
        </w:tc>
        <w:tc>
          <w:tcPr>
            <w:tcW w:w="2772" w:type="dxa"/>
          </w:tcPr>
          <w:p w14:paraId="7841CA74" w14:textId="77777777" w:rsidR="00995D07" w:rsidRPr="00E35988" w:rsidRDefault="00995D07" w:rsidP="0038197B">
            <w:pPr>
              <w:pStyle w:val="Table"/>
            </w:pPr>
            <w:r w:rsidRPr="00E35988">
              <w:t xml:space="preserve"> I see myself as someone who… ...is very concerned</w:t>
            </w:r>
          </w:p>
          <w:p w14:paraId="0F00B8F5" w14:textId="77777777" w:rsidR="00995D07" w:rsidRPr="00E35988" w:rsidRDefault="00995D07" w:rsidP="0038197B">
            <w:pPr>
              <w:pStyle w:val="Table"/>
            </w:pPr>
            <w:r w:rsidRPr="00E35988">
              <w:t>...easily gets nervous</w:t>
            </w:r>
          </w:p>
          <w:p w14:paraId="2C407F7F" w14:textId="29C44960" w:rsidR="00995D07" w:rsidRDefault="00995D07" w:rsidP="0038197B">
            <w:pPr>
              <w:pStyle w:val="Table"/>
            </w:pPr>
            <w:r w:rsidRPr="00E35988">
              <w:t>...is relaxed, can easily deal with stress</w:t>
            </w:r>
          </w:p>
        </w:tc>
        <w:tc>
          <w:tcPr>
            <w:tcW w:w="3946" w:type="dxa"/>
          </w:tcPr>
          <w:p w14:paraId="4167E8A7" w14:textId="6A3FAE75" w:rsidR="00995D07" w:rsidRDefault="00995D07" w:rsidP="0038197B">
            <w:pPr>
              <w:pStyle w:val="Table"/>
            </w:pPr>
            <w:r w:rsidRPr="00E35988">
              <w:t>Strongly disagree (1) - Strongly agree (7)</w:t>
            </w:r>
          </w:p>
        </w:tc>
        <w:tc>
          <w:tcPr>
            <w:tcW w:w="1325" w:type="dxa"/>
          </w:tcPr>
          <w:p w14:paraId="4A552D61" w14:textId="28149C64" w:rsidR="00995D07" w:rsidRDefault="00995D07" w:rsidP="0038197B">
            <w:pPr>
              <w:pStyle w:val="Table"/>
            </w:pPr>
            <w:r w:rsidRPr="00E35988">
              <w:t>Scale, level 2 predictor</w:t>
            </w:r>
          </w:p>
        </w:tc>
      </w:tr>
      <w:tr w:rsidR="00995D07" w14:paraId="5C678612" w14:textId="77777777" w:rsidTr="00995D07">
        <w:tc>
          <w:tcPr>
            <w:tcW w:w="1390" w:type="dxa"/>
          </w:tcPr>
          <w:p w14:paraId="547837D6" w14:textId="39C072A8" w:rsidR="00995D07" w:rsidRDefault="00995D07" w:rsidP="0038197B">
            <w:pPr>
              <w:pStyle w:val="Table"/>
            </w:pPr>
            <w:r w:rsidRPr="00E35988">
              <w:t>Financial strain</w:t>
            </w:r>
          </w:p>
        </w:tc>
        <w:tc>
          <w:tcPr>
            <w:tcW w:w="1052" w:type="dxa"/>
          </w:tcPr>
          <w:p w14:paraId="2302F352" w14:textId="26FB7811" w:rsidR="00995D07" w:rsidRDefault="00995D07" w:rsidP="0038197B">
            <w:pPr>
              <w:pStyle w:val="Table"/>
            </w:pPr>
            <w:r w:rsidRPr="00E35988">
              <w:t>B, w1-5, w9, w11-20</w:t>
            </w:r>
          </w:p>
        </w:tc>
        <w:tc>
          <w:tcPr>
            <w:tcW w:w="2772" w:type="dxa"/>
          </w:tcPr>
          <w:p w14:paraId="433D5DD1" w14:textId="1839E045" w:rsidR="00995D07" w:rsidRDefault="00995D07" w:rsidP="0038197B">
            <w:pPr>
              <w:pStyle w:val="Table"/>
            </w:pPr>
            <w:r w:rsidRPr="00E35988">
              <w:t>Agree or disagree: I am financially strained</w:t>
            </w:r>
          </w:p>
        </w:tc>
        <w:tc>
          <w:tcPr>
            <w:tcW w:w="3946" w:type="dxa"/>
          </w:tcPr>
          <w:p w14:paraId="2444EA47" w14:textId="7F5D8477" w:rsidR="00995D07" w:rsidRDefault="00995D07" w:rsidP="0038197B">
            <w:pPr>
              <w:pStyle w:val="Table"/>
            </w:pPr>
            <w:r w:rsidRPr="00E35988">
              <w:t>Strongly disagree (1) - Strongly agree (7)</w:t>
            </w:r>
          </w:p>
        </w:tc>
        <w:tc>
          <w:tcPr>
            <w:tcW w:w="1325" w:type="dxa"/>
          </w:tcPr>
          <w:p w14:paraId="02DC66FC" w14:textId="41AFBB6C" w:rsidR="00995D07" w:rsidRDefault="00995D07" w:rsidP="0038197B">
            <w:pPr>
              <w:pStyle w:val="Table"/>
            </w:pPr>
            <w:r w:rsidRPr="00E35988">
              <w:t>Scale, level 1 predictor</w:t>
            </w:r>
          </w:p>
        </w:tc>
      </w:tr>
      <w:tr w:rsidR="00995D07" w14:paraId="6026AE46" w14:textId="77777777" w:rsidTr="00995D07">
        <w:tc>
          <w:tcPr>
            <w:tcW w:w="1390" w:type="dxa"/>
          </w:tcPr>
          <w:p w14:paraId="0A8F470C" w14:textId="0DB5F12F" w:rsidR="00995D07" w:rsidRDefault="00995D07" w:rsidP="0038197B">
            <w:pPr>
              <w:pStyle w:val="Table"/>
            </w:pPr>
            <w:r w:rsidRPr="00E35988">
              <w:t>Close Corona</w:t>
            </w:r>
          </w:p>
        </w:tc>
        <w:tc>
          <w:tcPr>
            <w:tcW w:w="1052" w:type="dxa"/>
          </w:tcPr>
          <w:p w14:paraId="35A54E0F" w14:textId="17F24E7A" w:rsidR="00995D07" w:rsidRDefault="00995D07" w:rsidP="0038197B">
            <w:pPr>
              <w:pStyle w:val="Table"/>
            </w:pPr>
            <w:r w:rsidRPr="00E35988">
              <w:t>B, w1-20</w:t>
            </w:r>
          </w:p>
        </w:tc>
        <w:tc>
          <w:tcPr>
            <w:tcW w:w="2772" w:type="dxa"/>
          </w:tcPr>
          <w:p w14:paraId="21B05FDB" w14:textId="45B94CDA" w:rsidR="00995D07" w:rsidRDefault="00995D07" w:rsidP="0038197B">
            <w:pPr>
              <w:pStyle w:val="Table"/>
            </w:pPr>
            <w:r w:rsidRPr="00E35988">
              <w:t>Do you personally know anyone who currently has coronavirus (click all that apply)</w:t>
            </w:r>
          </w:p>
        </w:tc>
        <w:tc>
          <w:tcPr>
            <w:tcW w:w="3946" w:type="dxa"/>
          </w:tcPr>
          <w:p w14:paraId="065A1633" w14:textId="70C61950" w:rsidR="00995D07" w:rsidRDefault="00995D07" w:rsidP="0038197B">
            <w:pPr>
              <w:pStyle w:val="Table"/>
            </w:pPr>
            <w:r w:rsidRPr="00E35988">
              <w:t>Yes, myself; yes, a member of my family; yes, a close friend; yes, someone I know; yes, someone else; no, I don't know anyone</w:t>
            </w:r>
          </w:p>
        </w:tc>
        <w:tc>
          <w:tcPr>
            <w:tcW w:w="1325" w:type="dxa"/>
          </w:tcPr>
          <w:p w14:paraId="49125A80" w14:textId="7AC61542" w:rsidR="00995D07" w:rsidRDefault="00995D07" w:rsidP="0038197B">
            <w:pPr>
              <w:pStyle w:val="Table"/>
            </w:pPr>
            <w:r w:rsidRPr="00E35988">
              <w:t>Yes/no, level 1 predictor</w:t>
            </w:r>
          </w:p>
        </w:tc>
      </w:tr>
      <w:tr w:rsidR="00995D07" w14:paraId="422811E0" w14:textId="77777777" w:rsidTr="00995D07">
        <w:tc>
          <w:tcPr>
            <w:tcW w:w="1390" w:type="dxa"/>
          </w:tcPr>
          <w:p w14:paraId="46F8A219" w14:textId="1C2A8748" w:rsidR="00995D07" w:rsidRDefault="00995D07" w:rsidP="0038197B">
            <w:pPr>
              <w:pStyle w:val="Table"/>
            </w:pPr>
            <w:r w:rsidRPr="00E35988">
              <w:t>Demographic predictors</w:t>
            </w:r>
          </w:p>
        </w:tc>
        <w:tc>
          <w:tcPr>
            <w:tcW w:w="1052" w:type="dxa"/>
          </w:tcPr>
          <w:p w14:paraId="4B6F7DC9" w14:textId="77777777" w:rsidR="00995D07" w:rsidRDefault="00995D07" w:rsidP="0038197B">
            <w:pPr>
              <w:pStyle w:val="Table"/>
            </w:pPr>
          </w:p>
        </w:tc>
        <w:tc>
          <w:tcPr>
            <w:tcW w:w="2772" w:type="dxa"/>
          </w:tcPr>
          <w:p w14:paraId="0F3966A8" w14:textId="77777777" w:rsidR="00995D07" w:rsidRDefault="00995D07" w:rsidP="0038197B">
            <w:pPr>
              <w:pStyle w:val="Table"/>
            </w:pPr>
          </w:p>
        </w:tc>
        <w:tc>
          <w:tcPr>
            <w:tcW w:w="3946" w:type="dxa"/>
          </w:tcPr>
          <w:p w14:paraId="2823FE52" w14:textId="77777777" w:rsidR="00995D07" w:rsidRDefault="00995D07" w:rsidP="0038197B">
            <w:pPr>
              <w:pStyle w:val="Table"/>
            </w:pPr>
          </w:p>
        </w:tc>
        <w:tc>
          <w:tcPr>
            <w:tcW w:w="1325" w:type="dxa"/>
          </w:tcPr>
          <w:p w14:paraId="07E0479D" w14:textId="77777777" w:rsidR="00995D07" w:rsidRDefault="00995D07" w:rsidP="0038197B">
            <w:pPr>
              <w:pStyle w:val="Table"/>
            </w:pPr>
          </w:p>
        </w:tc>
      </w:tr>
      <w:tr w:rsidR="00995D07" w14:paraId="3BA4DB86" w14:textId="77777777" w:rsidTr="00995D07">
        <w:tc>
          <w:tcPr>
            <w:tcW w:w="1390" w:type="dxa"/>
          </w:tcPr>
          <w:p w14:paraId="16428EED" w14:textId="269483D7" w:rsidR="00995D07" w:rsidRDefault="00995D07" w:rsidP="0038197B">
            <w:pPr>
              <w:pStyle w:val="Table"/>
            </w:pPr>
            <w:r w:rsidRPr="00E35988">
              <w:t>Gender</w:t>
            </w:r>
          </w:p>
        </w:tc>
        <w:tc>
          <w:tcPr>
            <w:tcW w:w="1052" w:type="dxa"/>
          </w:tcPr>
          <w:p w14:paraId="1271D7B1" w14:textId="2A9288CD" w:rsidR="00995D07" w:rsidRDefault="00995D07" w:rsidP="0038197B">
            <w:pPr>
              <w:pStyle w:val="Table"/>
            </w:pPr>
            <w:r w:rsidRPr="00E35988">
              <w:t>B (only)</w:t>
            </w:r>
          </w:p>
        </w:tc>
        <w:tc>
          <w:tcPr>
            <w:tcW w:w="2772" w:type="dxa"/>
            <w:vAlign w:val="bottom"/>
          </w:tcPr>
          <w:p w14:paraId="346C609E" w14:textId="5296F511" w:rsidR="00995D07" w:rsidRDefault="00995D07" w:rsidP="0038197B">
            <w:pPr>
              <w:pStyle w:val="Table"/>
            </w:pPr>
            <w:r w:rsidRPr="00E35988">
              <w:t>What is your gender?</w:t>
            </w:r>
          </w:p>
        </w:tc>
        <w:tc>
          <w:tcPr>
            <w:tcW w:w="3946" w:type="dxa"/>
          </w:tcPr>
          <w:p w14:paraId="3CC35388" w14:textId="044469CB" w:rsidR="00995D07" w:rsidRDefault="00995D07" w:rsidP="0038197B">
            <w:pPr>
              <w:pStyle w:val="Table"/>
            </w:pPr>
            <w:r w:rsidRPr="00E35988">
              <w:t>Female; Male; Other</w:t>
            </w:r>
          </w:p>
        </w:tc>
        <w:tc>
          <w:tcPr>
            <w:tcW w:w="1325" w:type="dxa"/>
          </w:tcPr>
          <w:p w14:paraId="2C6862D9" w14:textId="4F9B3157" w:rsidR="00995D07" w:rsidRDefault="00995D07" w:rsidP="0038197B">
            <w:pPr>
              <w:pStyle w:val="Table"/>
            </w:pPr>
            <w:r w:rsidRPr="00E35988">
              <w:t>Man/woman, level 2 predictor</w:t>
            </w:r>
          </w:p>
        </w:tc>
      </w:tr>
      <w:tr w:rsidR="00995D07" w14:paraId="43CF14F5" w14:textId="77777777" w:rsidTr="00995D07">
        <w:tc>
          <w:tcPr>
            <w:tcW w:w="1390" w:type="dxa"/>
          </w:tcPr>
          <w:p w14:paraId="3E868277" w14:textId="0FC0B0F9" w:rsidR="00995D07" w:rsidRDefault="00995D07" w:rsidP="0038197B">
            <w:pPr>
              <w:pStyle w:val="Table"/>
            </w:pPr>
            <w:r w:rsidRPr="00E35988">
              <w:t>Age</w:t>
            </w:r>
          </w:p>
        </w:tc>
        <w:tc>
          <w:tcPr>
            <w:tcW w:w="1052" w:type="dxa"/>
          </w:tcPr>
          <w:p w14:paraId="4947E074" w14:textId="6E51F62E" w:rsidR="00995D07" w:rsidRDefault="00995D07" w:rsidP="0038197B">
            <w:pPr>
              <w:pStyle w:val="Table"/>
            </w:pPr>
            <w:r w:rsidRPr="00E35988">
              <w:t>B (only)</w:t>
            </w:r>
          </w:p>
        </w:tc>
        <w:tc>
          <w:tcPr>
            <w:tcW w:w="2772" w:type="dxa"/>
            <w:vAlign w:val="bottom"/>
          </w:tcPr>
          <w:p w14:paraId="657A9815" w14:textId="595E259D" w:rsidR="00995D07" w:rsidRDefault="00995D07" w:rsidP="0038197B">
            <w:pPr>
              <w:pStyle w:val="Table"/>
            </w:pPr>
            <w:r w:rsidRPr="00E35988">
              <w:t>What is your age?</w:t>
            </w:r>
          </w:p>
        </w:tc>
        <w:tc>
          <w:tcPr>
            <w:tcW w:w="3946" w:type="dxa"/>
          </w:tcPr>
          <w:p w14:paraId="2B294495" w14:textId="0BD5EF40" w:rsidR="00995D07" w:rsidRDefault="00995D07" w:rsidP="0038197B">
            <w:pPr>
              <w:pStyle w:val="Table"/>
            </w:pPr>
            <w:r w:rsidRPr="00E35988">
              <w:t>18-24; 25-34; 35-44; 45-54; 55-64; 65-75; 75-85; 85+</w:t>
            </w:r>
          </w:p>
        </w:tc>
        <w:tc>
          <w:tcPr>
            <w:tcW w:w="1325" w:type="dxa"/>
          </w:tcPr>
          <w:p w14:paraId="6938D1A2" w14:textId="29481D5A" w:rsidR="00995D07" w:rsidRDefault="00995D07" w:rsidP="0038197B">
            <w:pPr>
              <w:pStyle w:val="Table"/>
            </w:pPr>
            <w:r w:rsidRPr="00E35988">
              <w:t>Ordinal, level 2 predictor</w:t>
            </w:r>
          </w:p>
        </w:tc>
      </w:tr>
      <w:tr w:rsidR="00995D07" w14:paraId="58959DFE" w14:textId="77777777" w:rsidTr="00995D07">
        <w:tc>
          <w:tcPr>
            <w:tcW w:w="1390" w:type="dxa"/>
          </w:tcPr>
          <w:p w14:paraId="7A63E46D" w14:textId="4E9ADAE3" w:rsidR="00995D07" w:rsidRDefault="00995D07" w:rsidP="0038197B">
            <w:pPr>
              <w:pStyle w:val="Table"/>
            </w:pPr>
            <w:r w:rsidRPr="00E35988">
              <w:t>Education</w:t>
            </w:r>
          </w:p>
        </w:tc>
        <w:tc>
          <w:tcPr>
            <w:tcW w:w="1052" w:type="dxa"/>
          </w:tcPr>
          <w:p w14:paraId="653F193D" w14:textId="25CC2476" w:rsidR="00995D07" w:rsidRDefault="00995D07" w:rsidP="0038197B">
            <w:pPr>
              <w:pStyle w:val="Table"/>
            </w:pPr>
            <w:r w:rsidRPr="00E35988">
              <w:t>B (only)</w:t>
            </w:r>
          </w:p>
        </w:tc>
        <w:tc>
          <w:tcPr>
            <w:tcW w:w="2772" w:type="dxa"/>
            <w:vAlign w:val="bottom"/>
          </w:tcPr>
          <w:p w14:paraId="40B82BE0" w14:textId="239F8F39" w:rsidR="00995D07" w:rsidRDefault="00995D07" w:rsidP="0038197B">
            <w:pPr>
              <w:pStyle w:val="Table"/>
            </w:pPr>
            <w:r w:rsidRPr="00E35988">
              <w:t>What is your highest level of education?</w:t>
            </w:r>
          </w:p>
        </w:tc>
        <w:tc>
          <w:tcPr>
            <w:tcW w:w="3946" w:type="dxa"/>
          </w:tcPr>
          <w:p w14:paraId="74780DBC" w14:textId="3B4634B4" w:rsidR="00995D07" w:rsidRDefault="00995D07" w:rsidP="0038197B">
            <w:pPr>
              <w:pStyle w:val="Table"/>
            </w:pPr>
            <w:r w:rsidRPr="00E35988">
              <w:t xml:space="preserve">Primary education; General secondary education; Vocational education; Higher education; </w:t>
            </w:r>
            <w:proofErr w:type="spellStart"/>
            <w:r w:rsidRPr="00E35988">
              <w:t>Bachelors</w:t>
            </w:r>
            <w:proofErr w:type="spellEnd"/>
            <w:r w:rsidRPr="00E35988">
              <w:t xml:space="preserve"> degree; </w:t>
            </w:r>
            <w:proofErr w:type="spellStart"/>
            <w:r w:rsidRPr="00E35988">
              <w:t>Masters</w:t>
            </w:r>
            <w:proofErr w:type="spellEnd"/>
            <w:r w:rsidRPr="00E35988">
              <w:t xml:space="preserve"> degree; PhD degree</w:t>
            </w:r>
          </w:p>
        </w:tc>
        <w:tc>
          <w:tcPr>
            <w:tcW w:w="1325" w:type="dxa"/>
          </w:tcPr>
          <w:p w14:paraId="3CB3CB93" w14:textId="0F60C3AC" w:rsidR="00995D07" w:rsidRDefault="00995D07" w:rsidP="0038197B">
            <w:pPr>
              <w:pStyle w:val="Table"/>
            </w:pPr>
            <w:r w:rsidRPr="00E35988">
              <w:t>Ordinal, level 2 predictor</w:t>
            </w:r>
          </w:p>
        </w:tc>
      </w:tr>
      <w:tr w:rsidR="00995D07" w14:paraId="23B5D9DF" w14:textId="77777777" w:rsidTr="00995D07">
        <w:tc>
          <w:tcPr>
            <w:tcW w:w="1390" w:type="dxa"/>
          </w:tcPr>
          <w:p w14:paraId="7EDB0012" w14:textId="0E3F4EA4" w:rsidR="00995D07" w:rsidRDefault="00995D07" w:rsidP="0038197B">
            <w:pPr>
              <w:pStyle w:val="Table"/>
            </w:pPr>
            <w:r w:rsidRPr="00E35988">
              <w:t>Employment status</w:t>
            </w:r>
          </w:p>
        </w:tc>
        <w:tc>
          <w:tcPr>
            <w:tcW w:w="1052" w:type="dxa"/>
          </w:tcPr>
          <w:p w14:paraId="329EBAD6" w14:textId="2DB8A30D" w:rsidR="00995D07" w:rsidRDefault="00995D07" w:rsidP="0038197B">
            <w:pPr>
              <w:pStyle w:val="Table"/>
            </w:pPr>
            <w:r w:rsidRPr="00E35988">
              <w:t>B, w1-5 w7, w11-20</w:t>
            </w:r>
          </w:p>
        </w:tc>
        <w:tc>
          <w:tcPr>
            <w:tcW w:w="2772" w:type="dxa"/>
            <w:vAlign w:val="bottom"/>
          </w:tcPr>
          <w:p w14:paraId="0E7266CE" w14:textId="1F53E96A" w:rsidR="00995D07" w:rsidRDefault="00995D07" w:rsidP="0038197B">
            <w:pPr>
              <w:pStyle w:val="Table"/>
            </w:pPr>
            <w:r w:rsidRPr="00E35988">
              <w:t xml:space="preserve">Which of the following categories best describes your employment status during the last month (baseline)/ week </w:t>
            </w:r>
            <w:r w:rsidRPr="00E35988">
              <w:lastRenderedPageBreak/>
              <w:t>(other waves)? (Multiple may apply)</w:t>
            </w:r>
          </w:p>
        </w:tc>
        <w:tc>
          <w:tcPr>
            <w:tcW w:w="3946" w:type="dxa"/>
          </w:tcPr>
          <w:p w14:paraId="55DEB61D" w14:textId="712E4A1E" w:rsidR="00995D07" w:rsidRDefault="00995D07" w:rsidP="0038197B">
            <w:pPr>
              <w:pStyle w:val="Table"/>
            </w:pPr>
            <w:r w:rsidRPr="00E35988">
              <w:lastRenderedPageBreak/>
              <w:t xml:space="preserve">Employed, working 1-23 hours per week; Employed, working 24-39 hours per week; Employed, working 40 or more hours per week; Self-Employed; Not employed, looking for work; Not employed, not looking for work; Lost my employment in the last month (baseline)/week (other waves); Lost my </w:t>
            </w:r>
            <w:r w:rsidRPr="00E35988">
              <w:lastRenderedPageBreak/>
              <w:t>employment in the past month (baseline)/ last week (other waves) as my job has become temporarily not available (e.g., restaurant worker, driver, etc.); Homemaker; Retired; Disabled, not able to work; Student; Volunteering; Other</w:t>
            </w:r>
          </w:p>
        </w:tc>
        <w:tc>
          <w:tcPr>
            <w:tcW w:w="1325" w:type="dxa"/>
          </w:tcPr>
          <w:p w14:paraId="17DE4D19" w14:textId="77777777" w:rsidR="00995D07" w:rsidRPr="00E35988" w:rsidRDefault="00995D07" w:rsidP="0038197B">
            <w:pPr>
              <w:pStyle w:val="Table"/>
            </w:pPr>
            <w:r w:rsidRPr="00E35988">
              <w:lastRenderedPageBreak/>
              <w:t xml:space="preserve">Full-time, </w:t>
            </w:r>
          </w:p>
          <w:p w14:paraId="464076A6" w14:textId="77777777" w:rsidR="00995D07" w:rsidRPr="00E35988" w:rsidRDefault="00995D07" w:rsidP="0038197B">
            <w:pPr>
              <w:pStyle w:val="Table"/>
            </w:pPr>
            <w:r w:rsidRPr="00E35988">
              <w:t>Part-time,</w:t>
            </w:r>
          </w:p>
          <w:p w14:paraId="32148B7B" w14:textId="77777777" w:rsidR="00995D07" w:rsidRPr="00E35988" w:rsidRDefault="00995D07" w:rsidP="0038197B">
            <w:pPr>
              <w:pStyle w:val="Table"/>
            </w:pPr>
            <w:r w:rsidRPr="00E35988">
              <w:t>Unemployed,</w:t>
            </w:r>
          </w:p>
          <w:p w14:paraId="5BFD6919" w14:textId="5937CAF8" w:rsidR="00995D07" w:rsidRDefault="00995D07" w:rsidP="0038197B">
            <w:pPr>
              <w:pStyle w:val="Table"/>
            </w:pPr>
            <w:r w:rsidRPr="00E35988">
              <w:t>Looking for work, level 2 predictor</w:t>
            </w:r>
          </w:p>
        </w:tc>
      </w:tr>
      <w:tr w:rsidR="00995D07" w14:paraId="63BA4DE7" w14:textId="77777777" w:rsidTr="00995D07">
        <w:tc>
          <w:tcPr>
            <w:tcW w:w="1390" w:type="dxa"/>
          </w:tcPr>
          <w:p w14:paraId="1274082C" w14:textId="4C726B67" w:rsidR="00995D07" w:rsidRDefault="00995D07" w:rsidP="0038197B">
            <w:pPr>
              <w:pStyle w:val="Table"/>
            </w:pPr>
            <w:r w:rsidRPr="00E35988">
              <w:t>Living with</w:t>
            </w:r>
          </w:p>
        </w:tc>
        <w:tc>
          <w:tcPr>
            <w:tcW w:w="1052" w:type="dxa"/>
          </w:tcPr>
          <w:p w14:paraId="086A3064" w14:textId="5C8F2A0E" w:rsidR="00995D07" w:rsidRDefault="00995D07" w:rsidP="0038197B">
            <w:pPr>
              <w:pStyle w:val="Table"/>
            </w:pPr>
            <w:r w:rsidRPr="00E35988">
              <w:t>w1, w6, w10</w:t>
            </w:r>
          </w:p>
        </w:tc>
        <w:tc>
          <w:tcPr>
            <w:tcW w:w="2772" w:type="dxa"/>
          </w:tcPr>
          <w:p w14:paraId="6CCF2CD7" w14:textId="7B4D3A8B" w:rsidR="00995D07" w:rsidRDefault="00995D07" w:rsidP="0038197B">
            <w:pPr>
              <w:pStyle w:val="Table"/>
            </w:pPr>
            <w:r w:rsidRPr="00E35988">
              <w:t>What is your current living situation?</w:t>
            </w:r>
          </w:p>
        </w:tc>
        <w:tc>
          <w:tcPr>
            <w:tcW w:w="3946" w:type="dxa"/>
          </w:tcPr>
          <w:p w14:paraId="62F81D01" w14:textId="5CCBD012" w:rsidR="00995D07" w:rsidRDefault="00995D07" w:rsidP="0038197B">
            <w:pPr>
              <w:pStyle w:val="Table"/>
            </w:pPr>
            <w:r w:rsidRPr="00E35988">
              <w:t>I live alone; I live with other people</w:t>
            </w:r>
          </w:p>
        </w:tc>
        <w:tc>
          <w:tcPr>
            <w:tcW w:w="1325" w:type="dxa"/>
          </w:tcPr>
          <w:p w14:paraId="637D9497" w14:textId="11FA19D5" w:rsidR="00995D07" w:rsidRDefault="00995D07" w:rsidP="0038197B">
            <w:pPr>
              <w:pStyle w:val="Table"/>
            </w:pPr>
            <w:r w:rsidRPr="00E35988">
              <w:t>Dummy, level 2 predictor</w:t>
            </w:r>
          </w:p>
        </w:tc>
      </w:tr>
      <w:tr w:rsidR="00995D07" w14:paraId="3FE7E6BA" w14:textId="77777777" w:rsidTr="00995D07">
        <w:tc>
          <w:tcPr>
            <w:tcW w:w="1390" w:type="dxa"/>
          </w:tcPr>
          <w:p w14:paraId="7D4B8A14" w14:textId="42BDCB4F" w:rsidR="00995D07" w:rsidRDefault="00995D07" w:rsidP="0038197B">
            <w:pPr>
              <w:pStyle w:val="Table"/>
            </w:pPr>
            <w:r w:rsidRPr="00E35988">
              <w:t>Living with who</w:t>
            </w:r>
          </w:p>
        </w:tc>
        <w:tc>
          <w:tcPr>
            <w:tcW w:w="1052" w:type="dxa"/>
          </w:tcPr>
          <w:p w14:paraId="55FD286F" w14:textId="062D61C1" w:rsidR="00995D07" w:rsidRDefault="00995D07" w:rsidP="0038197B">
            <w:pPr>
              <w:pStyle w:val="Table"/>
            </w:pPr>
            <w:r w:rsidRPr="00E35988">
              <w:t>w1, w6, w10</w:t>
            </w:r>
          </w:p>
        </w:tc>
        <w:tc>
          <w:tcPr>
            <w:tcW w:w="2772" w:type="dxa"/>
          </w:tcPr>
          <w:p w14:paraId="6C051E3C" w14:textId="160BEA9A" w:rsidR="00995D07" w:rsidRDefault="00995D07" w:rsidP="0038197B">
            <w:pPr>
              <w:pStyle w:val="Table"/>
            </w:pPr>
            <w:r w:rsidRPr="00E35988">
              <w:t>Please indicate who you currently live with (multiple may apply)</w:t>
            </w:r>
          </w:p>
        </w:tc>
        <w:tc>
          <w:tcPr>
            <w:tcW w:w="3946" w:type="dxa"/>
          </w:tcPr>
          <w:p w14:paraId="1B65E3ED" w14:textId="6233E657" w:rsidR="00995D07" w:rsidRDefault="00995D07" w:rsidP="0038197B">
            <w:pPr>
              <w:pStyle w:val="Table"/>
            </w:pPr>
            <w:r w:rsidRPr="00E35988">
              <w:t>Spouse or romantic partner; mother; father; one or more children; one or more housemates; other, please specify</w:t>
            </w:r>
          </w:p>
        </w:tc>
        <w:tc>
          <w:tcPr>
            <w:tcW w:w="1325" w:type="dxa"/>
          </w:tcPr>
          <w:p w14:paraId="2EE5C5F4" w14:textId="7C1893FC" w:rsidR="00995D07" w:rsidRDefault="00995D07" w:rsidP="0038197B">
            <w:pPr>
              <w:pStyle w:val="Table"/>
            </w:pPr>
            <w:r w:rsidRPr="00E35988">
              <w:t>Dummy per category, level 2 predictor</w:t>
            </w:r>
          </w:p>
        </w:tc>
      </w:tr>
      <w:tr w:rsidR="00995D07" w14:paraId="5188065D" w14:textId="77777777" w:rsidTr="00995D07">
        <w:tc>
          <w:tcPr>
            <w:tcW w:w="1390" w:type="dxa"/>
          </w:tcPr>
          <w:p w14:paraId="3E8B332E" w14:textId="55F21877" w:rsidR="00995D07" w:rsidRDefault="00995D07" w:rsidP="0038197B">
            <w:pPr>
              <w:pStyle w:val="Table"/>
            </w:pPr>
            <w:r w:rsidRPr="00E35988">
              <w:t>Phys health</w:t>
            </w:r>
          </w:p>
        </w:tc>
        <w:tc>
          <w:tcPr>
            <w:tcW w:w="1052" w:type="dxa"/>
          </w:tcPr>
          <w:p w14:paraId="43A1790D" w14:textId="77777777" w:rsidR="00995D07" w:rsidRPr="00E35988" w:rsidRDefault="00995D07" w:rsidP="0038197B">
            <w:pPr>
              <w:pStyle w:val="Table"/>
            </w:pPr>
            <w:r w:rsidRPr="00E35988">
              <w:t>w1,</w:t>
            </w:r>
          </w:p>
          <w:p w14:paraId="7D373BBB" w14:textId="24ADD02D" w:rsidR="00995D07" w:rsidRDefault="00995D07" w:rsidP="0038197B">
            <w:pPr>
              <w:pStyle w:val="Table"/>
            </w:pPr>
            <w:r w:rsidRPr="00E35988">
              <w:t>w5, w11-20</w:t>
            </w:r>
          </w:p>
        </w:tc>
        <w:tc>
          <w:tcPr>
            <w:tcW w:w="2772" w:type="dxa"/>
          </w:tcPr>
          <w:p w14:paraId="4AFB74D6" w14:textId="3B1809C4" w:rsidR="00995D07" w:rsidRDefault="00995D07" w:rsidP="0038197B">
            <w:pPr>
              <w:pStyle w:val="Table"/>
            </w:pPr>
            <w:r w:rsidRPr="00E35988">
              <w:t>How is your current physical health?</w:t>
            </w:r>
          </w:p>
        </w:tc>
        <w:tc>
          <w:tcPr>
            <w:tcW w:w="3946" w:type="dxa"/>
          </w:tcPr>
          <w:p w14:paraId="2BBE11FB" w14:textId="243B7F9E" w:rsidR="00995D07" w:rsidRDefault="00995D07" w:rsidP="0038197B">
            <w:pPr>
              <w:pStyle w:val="Table"/>
            </w:pPr>
            <w:r w:rsidRPr="00E35988">
              <w:t>Terrible (1) - Excellent (10)</w:t>
            </w:r>
          </w:p>
        </w:tc>
        <w:tc>
          <w:tcPr>
            <w:tcW w:w="1325" w:type="dxa"/>
          </w:tcPr>
          <w:p w14:paraId="35C494AA" w14:textId="199B9AF4" w:rsidR="00995D07" w:rsidRDefault="00995D07" w:rsidP="0038197B">
            <w:pPr>
              <w:pStyle w:val="Table"/>
            </w:pPr>
            <w:r w:rsidRPr="00E35988">
              <w:t>Scale, level 1 predictor</w:t>
            </w:r>
          </w:p>
        </w:tc>
      </w:tr>
      <w:tr w:rsidR="00995D07" w14:paraId="4F2202A9" w14:textId="77777777" w:rsidTr="00995D07">
        <w:tc>
          <w:tcPr>
            <w:tcW w:w="1390" w:type="dxa"/>
          </w:tcPr>
          <w:p w14:paraId="6A68F7FF" w14:textId="01945238" w:rsidR="00995D07" w:rsidRDefault="00995D07" w:rsidP="0038197B">
            <w:pPr>
              <w:pStyle w:val="Table"/>
            </w:pPr>
            <w:r w:rsidRPr="00E35988">
              <w:t>Country</w:t>
            </w:r>
          </w:p>
        </w:tc>
        <w:tc>
          <w:tcPr>
            <w:tcW w:w="1052" w:type="dxa"/>
          </w:tcPr>
          <w:p w14:paraId="57FEE626" w14:textId="3222DE13" w:rsidR="00995D07" w:rsidRDefault="00995D07" w:rsidP="0038197B">
            <w:pPr>
              <w:pStyle w:val="Table"/>
            </w:pPr>
            <w:r w:rsidRPr="00E35988">
              <w:t>B (only)</w:t>
            </w:r>
          </w:p>
        </w:tc>
        <w:tc>
          <w:tcPr>
            <w:tcW w:w="2772" w:type="dxa"/>
          </w:tcPr>
          <w:p w14:paraId="68D02AF3" w14:textId="7EAE4D6D" w:rsidR="00995D07" w:rsidRDefault="00995D07" w:rsidP="0038197B">
            <w:pPr>
              <w:pStyle w:val="Table"/>
            </w:pPr>
            <w:r w:rsidRPr="00E35988">
              <w:t>In which country do you currently live in?</w:t>
            </w:r>
          </w:p>
        </w:tc>
        <w:tc>
          <w:tcPr>
            <w:tcW w:w="3946" w:type="dxa"/>
          </w:tcPr>
          <w:p w14:paraId="150CA2BE" w14:textId="77777777" w:rsidR="00995D07" w:rsidRDefault="00995D07" w:rsidP="0038197B">
            <w:pPr>
              <w:pStyle w:val="Table"/>
            </w:pPr>
          </w:p>
        </w:tc>
        <w:tc>
          <w:tcPr>
            <w:tcW w:w="1325" w:type="dxa"/>
          </w:tcPr>
          <w:p w14:paraId="20CC0D2C" w14:textId="7FDD41B9" w:rsidR="00995D07" w:rsidRDefault="00995D07" w:rsidP="0038197B">
            <w:pPr>
              <w:pStyle w:val="Table"/>
            </w:pPr>
            <w:r w:rsidRPr="00E35988">
              <w:t>Nominal, level 3 predictor</w:t>
            </w:r>
          </w:p>
        </w:tc>
      </w:tr>
      <w:tr w:rsidR="00995D07" w14:paraId="59215410" w14:textId="77777777" w:rsidTr="00995D07">
        <w:tc>
          <w:tcPr>
            <w:tcW w:w="1390" w:type="dxa"/>
          </w:tcPr>
          <w:p w14:paraId="66CCF7A4" w14:textId="662F46D2" w:rsidR="00995D07" w:rsidRDefault="00995D07" w:rsidP="0038197B">
            <w:pPr>
              <w:pStyle w:val="Table"/>
            </w:pPr>
            <w:r w:rsidRPr="00E35988">
              <w:t>Country citizen</w:t>
            </w:r>
          </w:p>
        </w:tc>
        <w:tc>
          <w:tcPr>
            <w:tcW w:w="1052" w:type="dxa"/>
          </w:tcPr>
          <w:p w14:paraId="60453E25" w14:textId="3EBCE6CB" w:rsidR="00995D07" w:rsidRDefault="00995D07" w:rsidP="0038197B">
            <w:pPr>
              <w:pStyle w:val="Table"/>
            </w:pPr>
            <w:r w:rsidRPr="00E35988">
              <w:t>B (only)</w:t>
            </w:r>
          </w:p>
        </w:tc>
        <w:tc>
          <w:tcPr>
            <w:tcW w:w="2772" w:type="dxa"/>
          </w:tcPr>
          <w:p w14:paraId="5B6DFD09" w14:textId="6FEEC0ED" w:rsidR="00995D07" w:rsidRDefault="00995D07" w:rsidP="0038197B">
            <w:pPr>
              <w:pStyle w:val="Table"/>
            </w:pPr>
            <w:r w:rsidRPr="00E35988">
              <w:t>Are you a citizen of this country?</w:t>
            </w:r>
          </w:p>
        </w:tc>
        <w:tc>
          <w:tcPr>
            <w:tcW w:w="3946" w:type="dxa"/>
          </w:tcPr>
          <w:p w14:paraId="25913C2E" w14:textId="356C335E" w:rsidR="00995D07" w:rsidRDefault="00995D07" w:rsidP="0038197B">
            <w:pPr>
              <w:pStyle w:val="Table"/>
            </w:pPr>
            <w:r w:rsidRPr="00E35988">
              <w:t>Yes; No</w:t>
            </w:r>
          </w:p>
        </w:tc>
        <w:tc>
          <w:tcPr>
            <w:tcW w:w="1325" w:type="dxa"/>
          </w:tcPr>
          <w:p w14:paraId="4FBE787E" w14:textId="12FB6CF3" w:rsidR="00995D07" w:rsidRDefault="00995D07" w:rsidP="0038197B">
            <w:pPr>
              <w:pStyle w:val="Table"/>
            </w:pPr>
            <w:r w:rsidRPr="00E35988">
              <w:t>Yes/no, level 2 predictor</w:t>
            </w:r>
          </w:p>
        </w:tc>
      </w:tr>
    </w:tbl>
    <w:p w14:paraId="36C48181" w14:textId="77777777" w:rsidR="00995D07" w:rsidRPr="00E35988" w:rsidRDefault="00995D07" w:rsidP="008F261B">
      <w:pPr>
        <w:rPr>
          <w:b/>
        </w:rPr>
      </w:pPr>
      <w:r w:rsidRPr="00E35988">
        <w:t>B = Baseline questionnaire, w1 = wave 1, N per wave ~5000</w:t>
      </w:r>
    </w:p>
    <w:p w14:paraId="606AD817" w14:textId="77777777" w:rsidR="00995D07" w:rsidRPr="00995D07" w:rsidRDefault="00995D07" w:rsidP="008F261B"/>
    <w:p w14:paraId="1A51FB0B" w14:textId="04DF387B" w:rsidR="00FE6606" w:rsidRDefault="00FE6606" w:rsidP="008F261B">
      <w:r>
        <w:br w:type="page"/>
      </w:r>
    </w:p>
    <w:p w14:paraId="02867BE3" w14:textId="569A8694" w:rsidR="00106BFA" w:rsidRPr="00FE6606" w:rsidRDefault="00FE6606" w:rsidP="0038197B">
      <w:pPr>
        <w:pStyle w:val="Heading1"/>
      </w:pPr>
      <w:r w:rsidRPr="00FE6606">
        <w:lastRenderedPageBreak/>
        <w:t xml:space="preserve">Supplement </w:t>
      </w:r>
      <w:r>
        <w:t>1</w:t>
      </w:r>
    </w:p>
    <w:p w14:paraId="17B1D89B" w14:textId="1CCF7A9E" w:rsidR="00FE6606" w:rsidRDefault="00FE6606" w:rsidP="008F261B"/>
    <w:p w14:paraId="3B6C7CFC" w14:textId="77777777" w:rsidR="00FE6606" w:rsidRPr="00E35988" w:rsidRDefault="00FE6606" w:rsidP="008F261B">
      <w:r w:rsidRPr="00E35988">
        <w:t>Stringency (strength of restrictions) for Western countries (derived from https://ourworldindata.org):</w:t>
      </w:r>
    </w:p>
    <w:p w14:paraId="4C03B29A" w14:textId="77777777" w:rsidR="00FE6606" w:rsidRPr="00E35988" w:rsidRDefault="00FE6606" w:rsidP="008F261B">
      <w:r w:rsidRPr="00E35988">
        <w:rPr>
          <w:noProof/>
        </w:rPr>
        <w:drawing>
          <wp:inline distT="114300" distB="114300" distL="114300" distR="114300" wp14:anchorId="04D86B7A" wp14:editId="7D9FE7E8">
            <wp:extent cx="3144539" cy="207676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3"/>
                    <a:srcRect/>
                    <a:stretch>
                      <a:fillRect/>
                    </a:stretch>
                  </pic:blipFill>
                  <pic:spPr>
                    <a:xfrm>
                      <a:off x="0" y="0"/>
                      <a:ext cx="3144539" cy="2076767"/>
                    </a:xfrm>
                    <a:prstGeom prst="rect">
                      <a:avLst/>
                    </a:prstGeom>
                    <a:ln/>
                  </pic:spPr>
                </pic:pic>
              </a:graphicData>
            </a:graphic>
          </wp:inline>
        </w:drawing>
      </w:r>
    </w:p>
    <w:p w14:paraId="44E79CBB" w14:textId="77777777" w:rsidR="00FE6606" w:rsidRPr="00E35988" w:rsidRDefault="00FE6606" w:rsidP="008F261B">
      <w:r w:rsidRPr="00E35988">
        <w:t>Stringency for non-Western countries (with UK as comparison):</w:t>
      </w:r>
    </w:p>
    <w:p w14:paraId="04748329" w14:textId="77777777" w:rsidR="00FE6606" w:rsidRPr="00E35988" w:rsidRDefault="00FE6606" w:rsidP="008F261B">
      <w:r w:rsidRPr="00E35988">
        <w:rPr>
          <w:noProof/>
        </w:rPr>
        <w:drawing>
          <wp:inline distT="114300" distB="114300" distL="114300" distR="114300" wp14:anchorId="7A909F25" wp14:editId="193655FD">
            <wp:extent cx="3105468" cy="20578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4"/>
                    <a:srcRect/>
                    <a:stretch>
                      <a:fillRect/>
                    </a:stretch>
                  </pic:blipFill>
                  <pic:spPr>
                    <a:xfrm>
                      <a:off x="0" y="0"/>
                      <a:ext cx="3105468" cy="2057840"/>
                    </a:xfrm>
                    <a:prstGeom prst="rect">
                      <a:avLst/>
                    </a:prstGeom>
                    <a:ln/>
                  </pic:spPr>
                </pic:pic>
              </a:graphicData>
            </a:graphic>
          </wp:inline>
        </w:drawing>
      </w:r>
    </w:p>
    <w:p w14:paraId="5E9FBDBD" w14:textId="132C5F16" w:rsidR="009E2148" w:rsidRDefault="009E2148" w:rsidP="008F261B">
      <w:r>
        <w:br w:type="page"/>
      </w:r>
    </w:p>
    <w:p w14:paraId="28488B04" w14:textId="39364D12" w:rsidR="00FE6606" w:rsidRPr="009E2148" w:rsidRDefault="009E2148" w:rsidP="008F261B">
      <w:r w:rsidRPr="009E2148">
        <w:lastRenderedPageBreak/>
        <w:t>Supplement X</w:t>
      </w:r>
    </w:p>
    <w:p w14:paraId="7337708C" w14:textId="424BF7C4" w:rsidR="009E2148" w:rsidRPr="00F77D23" w:rsidRDefault="009E2148" w:rsidP="008F261B">
      <w:pPr>
        <w:rPr>
          <w:sz w:val="24"/>
          <w:szCs w:val="24"/>
        </w:rPr>
      </w:pPr>
      <w:r>
        <w:t>Changes in manuscript after preregistration</w:t>
      </w:r>
    </w:p>
    <w:sectPr w:rsidR="009E2148" w:rsidRPr="00F77D23" w:rsidSect="00F470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Vera Buijs" w:date="2021-04-21T11:29:00Z" w:initials="VB">
    <w:p w14:paraId="2E6FC0DC" w14:textId="15F9290B" w:rsidR="009E2148" w:rsidRDefault="009E2148" w:rsidP="008F261B">
      <w:pPr>
        <w:pStyle w:val="CommentText"/>
      </w:pPr>
      <w:r>
        <w:rPr>
          <w:rStyle w:val="CommentReference"/>
        </w:rPr>
        <w:annotationRef/>
      </w:r>
      <w:proofErr w:type="gramStart"/>
      <w:r>
        <w:t>check</w:t>
      </w:r>
      <w:proofErr w:type="gramEnd"/>
    </w:p>
  </w:comment>
  <w:comment w:id="4" w:author="Vera Buijs" w:date="2021-04-21T11:29:00Z" w:initials="VB">
    <w:p w14:paraId="12A85734" w14:textId="3AA02509" w:rsidR="009E2148" w:rsidRDefault="009E2148" w:rsidP="008F261B">
      <w:pPr>
        <w:pStyle w:val="CommentText"/>
      </w:pPr>
      <w:r>
        <w:rPr>
          <w:rStyle w:val="CommentReference"/>
        </w:rPr>
        <w:annotationRef/>
      </w:r>
      <w:proofErr w:type="gramStart"/>
      <w:r>
        <w:t>check</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6FC0DC" w15:done="0"/>
  <w15:commentEx w15:paraId="12A85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8B21" w16cex:dateUtc="2021-04-21T09:29:00Z"/>
  <w16cex:commentExtensible w16cex:durableId="242A8B2C" w16cex:dateUtc="2021-04-21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6FC0DC" w16cid:durableId="242A8B21"/>
  <w16cid:commentId w16cid:paraId="12A85734" w16cid:durableId="242A8B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5008"/>
    <w:multiLevelType w:val="multilevel"/>
    <w:tmpl w:val="2D9AF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21E22"/>
    <w:multiLevelType w:val="multilevel"/>
    <w:tmpl w:val="890C1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126CC3"/>
    <w:multiLevelType w:val="multilevel"/>
    <w:tmpl w:val="A1801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CF57BE"/>
    <w:multiLevelType w:val="multilevel"/>
    <w:tmpl w:val="A12E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933B5A"/>
    <w:multiLevelType w:val="multilevel"/>
    <w:tmpl w:val="47C2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BC6D7F"/>
    <w:multiLevelType w:val="multilevel"/>
    <w:tmpl w:val="D1683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E2482B"/>
    <w:multiLevelType w:val="multilevel"/>
    <w:tmpl w:val="A2AC1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CC2B0A"/>
    <w:multiLevelType w:val="multilevel"/>
    <w:tmpl w:val="D88AD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ra Buijs">
    <w15:presenceInfo w15:providerId="Windows Live" w15:userId="2558a1631b900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00"/>
    <w:rsid w:val="000228F4"/>
    <w:rsid w:val="00027D97"/>
    <w:rsid w:val="000310DB"/>
    <w:rsid w:val="00091C62"/>
    <w:rsid w:val="000B1695"/>
    <w:rsid w:val="000C71EF"/>
    <w:rsid w:val="000D1FE2"/>
    <w:rsid w:val="000F0149"/>
    <w:rsid w:val="00106BFA"/>
    <w:rsid w:val="00153F4F"/>
    <w:rsid w:val="00196B36"/>
    <w:rsid w:val="001B6EEA"/>
    <w:rsid w:val="001C7386"/>
    <w:rsid w:val="001D37B4"/>
    <w:rsid w:val="001D4A3B"/>
    <w:rsid w:val="001D7558"/>
    <w:rsid w:val="0020061F"/>
    <w:rsid w:val="002405F1"/>
    <w:rsid w:val="00272FD9"/>
    <w:rsid w:val="00287E75"/>
    <w:rsid w:val="00295B79"/>
    <w:rsid w:val="00297E58"/>
    <w:rsid w:val="002D5E2F"/>
    <w:rsid w:val="00306ADB"/>
    <w:rsid w:val="00327AD2"/>
    <w:rsid w:val="0035560A"/>
    <w:rsid w:val="00355C48"/>
    <w:rsid w:val="0037357C"/>
    <w:rsid w:val="0038197B"/>
    <w:rsid w:val="00382DD4"/>
    <w:rsid w:val="003A7868"/>
    <w:rsid w:val="003C5524"/>
    <w:rsid w:val="003E0A51"/>
    <w:rsid w:val="00461CF8"/>
    <w:rsid w:val="0046325E"/>
    <w:rsid w:val="00485B68"/>
    <w:rsid w:val="004912AF"/>
    <w:rsid w:val="00492757"/>
    <w:rsid w:val="004955FB"/>
    <w:rsid w:val="004A2A48"/>
    <w:rsid w:val="004A79F1"/>
    <w:rsid w:val="004B52BB"/>
    <w:rsid w:val="004E3EFA"/>
    <w:rsid w:val="00503D6F"/>
    <w:rsid w:val="00535908"/>
    <w:rsid w:val="00565FA6"/>
    <w:rsid w:val="005739C1"/>
    <w:rsid w:val="005828CA"/>
    <w:rsid w:val="00592D3E"/>
    <w:rsid w:val="005B45D1"/>
    <w:rsid w:val="0060042C"/>
    <w:rsid w:val="00615640"/>
    <w:rsid w:val="00632B53"/>
    <w:rsid w:val="00656171"/>
    <w:rsid w:val="0066451B"/>
    <w:rsid w:val="006679AE"/>
    <w:rsid w:val="006A3093"/>
    <w:rsid w:val="006D733D"/>
    <w:rsid w:val="0071200C"/>
    <w:rsid w:val="0072257D"/>
    <w:rsid w:val="00735478"/>
    <w:rsid w:val="007602A5"/>
    <w:rsid w:val="00766424"/>
    <w:rsid w:val="007712EE"/>
    <w:rsid w:val="007A4711"/>
    <w:rsid w:val="007D59B9"/>
    <w:rsid w:val="00834652"/>
    <w:rsid w:val="00837CFF"/>
    <w:rsid w:val="00837FBE"/>
    <w:rsid w:val="00856FBF"/>
    <w:rsid w:val="008A0443"/>
    <w:rsid w:val="008B0A8B"/>
    <w:rsid w:val="008F261B"/>
    <w:rsid w:val="00904BD4"/>
    <w:rsid w:val="0091450B"/>
    <w:rsid w:val="00921549"/>
    <w:rsid w:val="009215CD"/>
    <w:rsid w:val="00987689"/>
    <w:rsid w:val="0099347A"/>
    <w:rsid w:val="00995AE2"/>
    <w:rsid w:val="00995D07"/>
    <w:rsid w:val="009B3F0E"/>
    <w:rsid w:val="009C06AE"/>
    <w:rsid w:val="009C39B2"/>
    <w:rsid w:val="009E2148"/>
    <w:rsid w:val="00A26A94"/>
    <w:rsid w:val="00A65732"/>
    <w:rsid w:val="00A778C1"/>
    <w:rsid w:val="00A94217"/>
    <w:rsid w:val="00AB2FB1"/>
    <w:rsid w:val="00AD25F8"/>
    <w:rsid w:val="00AD48E4"/>
    <w:rsid w:val="00AE5E59"/>
    <w:rsid w:val="00AF200B"/>
    <w:rsid w:val="00AF358E"/>
    <w:rsid w:val="00B034F4"/>
    <w:rsid w:val="00B161A3"/>
    <w:rsid w:val="00B44A41"/>
    <w:rsid w:val="00B47F6F"/>
    <w:rsid w:val="00B52460"/>
    <w:rsid w:val="00B63854"/>
    <w:rsid w:val="00B65523"/>
    <w:rsid w:val="00B70E2B"/>
    <w:rsid w:val="00B7658C"/>
    <w:rsid w:val="00B85006"/>
    <w:rsid w:val="00B85446"/>
    <w:rsid w:val="00BC0BB2"/>
    <w:rsid w:val="00BD069A"/>
    <w:rsid w:val="00C0563B"/>
    <w:rsid w:val="00C21D49"/>
    <w:rsid w:val="00C41432"/>
    <w:rsid w:val="00C856BC"/>
    <w:rsid w:val="00C87BA2"/>
    <w:rsid w:val="00C90E53"/>
    <w:rsid w:val="00CC1688"/>
    <w:rsid w:val="00D54FF9"/>
    <w:rsid w:val="00D63D46"/>
    <w:rsid w:val="00D90036"/>
    <w:rsid w:val="00DB2FC1"/>
    <w:rsid w:val="00DC0DFB"/>
    <w:rsid w:val="00DE3AE7"/>
    <w:rsid w:val="00DF718A"/>
    <w:rsid w:val="00E17754"/>
    <w:rsid w:val="00E331EA"/>
    <w:rsid w:val="00E4381E"/>
    <w:rsid w:val="00E62A4A"/>
    <w:rsid w:val="00E62E5F"/>
    <w:rsid w:val="00E86129"/>
    <w:rsid w:val="00E943C4"/>
    <w:rsid w:val="00EA7E5D"/>
    <w:rsid w:val="00ED660C"/>
    <w:rsid w:val="00EE3546"/>
    <w:rsid w:val="00EF2769"/>
    <w:rsid w:val="00F16152"/>
    <w:rsid w:val="00F40F5D"/>
    <w:rsid w:val="00F47000"/>
    <w:rsid w:val="00F556EC"/>
    <w:rsid w:val="00F77D23"/>
    <w:rsid w:val="00F853E1"/>
    <w:rsid w:val="00FA4559"/>
    <w:rsid w:val="00FB4841"/>
    <w:rsid w:val="00FD7A50"/>
    <w:rsid w:val="00FE6606"/>
    <w:rsid w:val="00FE7F89"/>
    <w:rsid w:val="00FF0A1F"/>
    <w:rsid w:val="00FF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174D"/>
  <w15:chartTrackingRefBased/>
  <w15:docId w15:val="{0287D79B-1010-48DE-BB08-8792AC70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9C1"/>
    <w:pPr>
      <w:spacing w:after="0" w:line="480" w:lineRule="auto"/>
      <w:ind w:firstLine="720"/>
      <w:contextualSpacing/>
    </w:pPr>
    <w:rPr>
      <w:rFonts w:eastAsia="Calibri" w:cstheme="minorHAnsi"/>
    </w:rPr>
  </w:style>
  <w:style w:type="paragraph" w:styleId="Heading1">
    <w:name w:val="heading 1"/>
    <w:basedOn w:val="Referenties"/>
    <w:next w:val="Normal"/>
    <w:link w:val="Heading1Char"/>
    <w:uiPriority w:val="9"/>
    <w:qFormat/>
    <w:rsid w:val="005739C1"/>
    <w:pPr>
      <w:spacing w:before="200" w:after="0"/>
      <w:jc w:val="center"/>
      <w:outlineLvl w:val="0"/>
    </w:pPr>
    <w:rPr>
      <w:b/>
    </w:rPr>
  </w:style>
  <w:style w:type="paragraph" w:styleId="Heading2">
    <w:name w:val="heading 2"/>
    <w:basedOn w:val="Heading1"/>
    <w:next w:val="Normal"/>
    <w:link w:val="Heading2Char"/>
    <w:uiPriority w:val="9"/>
    <w:unhideWhenUsed/>
    <w:qFormat/>
    <w:rsid w:val="005739C1"/>
    <w:pPr>
      <w:spacing w:before="0"/>
      <w:jc w:val="left"/>
      <w:outlineLvl w:val="1"/>
    </w:pPr>
  </w:style>
  <w:style w:type="paragraph" w:styleId="Heading3">
    <w:name w:val="heading 3"/>
    <w:basedOn w:val="Heading2"/>
    <w:next w:val="Normal"/>
    <w:link w:val="Heading3Char"/>
    <w:uiPriority w:val="9"/>
    <w:unhideWhenUsed/>
    <w:qFormat/>
    <w:rsid w:val="005739C1"/>
    <w:pPr>
      <w:outlineLvl w:val="2"/>
    </w:pPr>
    <w:rPr>
      <w:i/>
    </w:rPr>
  </w:style>
  <w:style w:type="paragraph" w:styleId="Heading4">
    <w:name w:val="heading 4"/>
    <w:basedOn w:val="Heading3"/>
    <w:next w:val="Normal"/>
    <w:link w:val="Heading4Char"/>
    <w:uiPriority w:val="9"/>
    <w:unhideWhenUsed/>
    <w:qFormat/>
    <w:rsid w:val="0038197B"/>
    <w:pPr>
      <w:ind w:left="0" w:firstLine="720"/>
      <w:outlineLvl w:val="3"/>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61B"/>
    <w:pPr>
      <w:jc w:val="center"/>
    </w:pPr>
    <w:rPr>
      <w:b/>
      <w:bCs/>
      <w:sz w:val="28"/>
      <w:szCs w:val="28"/>
    </w:rPr>
  </w:style>
  <w:style w:type="character" w:customStyle="1" w:styleId="TitleChar">
    <w:name w:val="Title Char"/>
    <w:basedOn w:val="DefaultParagraphFont"/>
    <w:link w:val="Title"/>
    <w:uiPriority w:val="10"/>
    <w:rsid w:val="008F261B"/>
    <w:rPr>
      <w:rFonts w:ascii="Calibri" w:eastAsia="Calibri" w:hAnsi="Calibri" w:cs="Calibri"/>
      <w:b/>
      <w:bCs/>
      <w:sz w:val="28"/>
      <w:szCs w:val="28"/>
    </w:rPr>
  </w:style>
  <w:style w:type="character" w:customStyle="1" w:styleId="Heading1Char">
    <w:name w:val="Heading 1 Char"/>
    <w:basedOn w:val="DefaultParagraphFont"/>
    <w:link w:val="Heading1"/>
    <w:uiPriority w:val="9"/>
    <w:rsid w:val="005739C1"/>
    <w:rPr>
      <w:rFonts w:eastAsia="Calibri" w:cstheme="minorHAnsi"/>
      <w:b/>
    </w:rPr>
  </w:style>
  <w:style w:type="character" w:styleId="CommentReference">
    <w:name w:val="annotation reference"/>
    <w:basedOn w:val="DefaultParagraphFont"/>
    <w:uiPriority w:val="99"/>
    <w:semiHidden/>
    <w:unhideWhenUsed/>
    <w:rsid w:val="00F77D23"/>
    <w:rPr>
      <w:sz w:val="16"/>
      <w:szCs w:val="16"/>
    </w:rPr>
  </w:style>
  <w:style w:type="paragraph" w:styleId="CommentText">
    <w:name w:val="annotation text"/>
    <w:basedOn w:val="Normal"/>
    <w:link w:val="CommentTextChar"/>
    <w:uiPriority w:val="99"/>
    <w:unhideWhenUsed/>
    <w:rsid w:val="00F77D23"/>
    <w:pPr>
      <w:spacing w:line="240" w:lineRule="auto"/>
    </w:pPr>
    <w:rPr>
      <w:sz w:val="20"/>
      <w:szCs w:val="20"/>
    </w:rPr>
  </w:style>
  <w:style w:type="character" w:customStyle="1" w:styleId="CommentTextChar">
    <w:name w:val="Comment Text Char"/>
    <w:basedOn w:val="DefaultParagraphFont"/>
    <w:link w:val="CommentText"/>
    <w:uiPriority w:val="99"/>
    <w:rsid w:val="00F77D23"/>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F77D23"/>
    <w:rPr>
      <w:b/>
      <w:bCs/>
    </w:rPr>
  </w:style>
  <w:style w:type="character" w:customStyle="1" w:styleId="CommentSubjectChar">
    <w:name w:val="Comment Subject Char"/>
    <w:basedOn w:val="CommentTextChar"/>
    <w:link w:val="CommentSubject"/>
    <w:uiPriority w:val="99"/>
    <w:semiHidden/>
    <w:rsid w:val="00F77D23"/>
    <w:rPr>
      <w:rFonts w:ascii="Calibri" w:eastAsia="Calibri" w:hAnsi="Calibri" w:cs="Calibri"/>
      <w:b/>
      <w:bCs/>
      <w:sz w:val="20"/>
      <w:szCs w:val="20"/>
    </w:rPr>
  </w:style>
  <w:style w:type="character" w:styleId="Hyperlink">
    <w:name w:val="Hyperlink"/>
    <w:basedOn w:val="DefaultParagraphFont"/>
    <w:uiPriority w:val="99"/>
    <w:unhideWhenUsed/>
    <w:rsid w:val="00106BFA"/>
    <w:rPr>
      <w:color w:val="0000FF"/>
      <w:u w:val="single"/>
    </w:rPr>
  </w:style>
  <w:style w:type="character" w:customStyle="1" w:styleId="UnresolvedMention">
    <w:name w:val="Unresolved Mention"/>
    <w:basedOn w:val="DefaultParagraphFont"/>
    <w:uiPriority w:val="99"/>
    <w:semiHidden/>
    <w:unhideWhenUsed/>
    <w:rsid w:val="00106BFA"/>
    <w:rPr>
      <w:color w:val="605E5C"/>
      <w:shd w:val="clear" w:color="auto" w:fill="E1DFDD"/>
    </w:rPr>
  </w:style>
  <w:style w:type="paragraph" w:customStyle="1" w:styleId="Referenties">
    <w:name w:val="Referenties"/>
    <w:basedOn w:val="Normal"/>
    <w:link w:val="ReferentiesChar"/>
    <w:qFormat/>
    <w:rsid w:val="007602A5"/>
    <w:pPr>
      <w:spacing w:after="200"/>
      <w:ind w:left="720" w:hanging="720"/>
    </w:pPr>
  </w:style>
  <w:style w:type="paragraph" w:styleId="Caption">
    <w:name w:val="caption"/>
    <w:basedOn w:val="Normal"/>
    <w:next w:val="Normal"/>
    <w:uiPriority w:val="35"/>
    <w:unhideWhenUsed/>
    <w:qFormat/>
    <w:rsid w:val="00995D07"/>
    <w:rPr>
      <w:b/>
      <w:szCs w:val="24"/>
    </w:rPr>
  </w:style>
  <w:style w:type="character" w:customStyle="1" w:styleId="ReferentiesChar">
    <w:name w:val="Referenties Char"/>
    <w:basedOn w:val="DefaultParagraphFont"/>
    <w:link w:val="Referenties"/>
    <w:rsid w:val="007602A5"/>
    <w:rPr>
      <w:rFonts w:eastAsia="Calibri" w:cstheme="minorHAnsi"/>
    </w:rPr>
  </w:style>
  <w:style w:type="table" w:styleId="TableGrid">
    <w:name w:val="Table Grid"/>
    <w:basedOn w:val="TableNormal"/>
    <w:uiPriority w:val="39"/>
    <w:rsid w:val="00995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26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61B"/>
    <w:rPr>
      <w:rFonts w:ascii="Segoe UI" w:eastAsia="Calibri" w:hAnsi="Segoe UI" w:cs="Segoe UI"/>
      <w:sz w:val="18"/>
      <w:szCs w:val="18"/>
    </w:rPr>
  </w:style>
  <w:style w:type="character" w:customStyle="1" w:styleId="Heading2Char">
    <w:name w:val="Heading 2 Char"/>
    <w:basedOn w:val="DefaultParagraphFont"/>
    <w:link w:val="Heading2"/>
    <w:uiPriority w:val="9"/>
    <w:rsid w:val="005739C1"/>
    <w:rPr>
      <w:rFonts w:eastAsia="Calibri" w:cstheme="minorHAnsi"/>
      <w:b/>
    </w:rPr>
  </w:style>
  <w:style w:type="paragraph" w:styleId="NoSpacing">
    <w:name w:val="No Spacing"/>
    <w:link w:val="NoSpacingChar"/>
    <w:uiPriority w:val="1"/>
    <w:qFormat/>
    <w:rsid w:val="00921549"/>
    <w:pPr>
      <w:spacing w:after="0" w:line="240" w:lineRule="auto"/>
      <w:ind w:firstLine="720"/>
      <w:contextualSpacing/>
    </w:pPr>
    <w:rPr>
      <w:rFonts w:eastAsia="Calibri" w:cstheme="minorHAnsi"/>
    </w:rPr>
  </w:style>
  <w:style w:type="paragraph" w:customStyle="1" w:styleId="Table">
    <w:name w:val="Table"/>
    <w:basedOn w:val="NoSpacing"/>
    <w:link w:val="TableChar"/>
    <w:qFormat/>
    <w:rsid w:val="00921549"/>
    <w:pPr>
      <w:ind w:firstLine="0"/>
    </w:pPr>
  </w:style>
  <w:style w:type="character" w:customStyle="1" w:styleId="Heading3Char">
    <w:name w:val="Heading 3 Char"/>
    <w:basedOn w:val="DefaultParagraphFont"/>
    <w:link w:val="Heading3"/>
    <w:uiPriority w:val="9"/>
    <w:rsid w:val="005739C1"/>
    <w:rPr>
      <w:rFonts w:eastAsia="Calibri" w:cstheme="minorHAnsi"/>
      <w:b/>
      <w:i/>
    </w:rPr>
  </w:style>
  <w:style w:type="character" w:customStyle="1" w:styleId="NoSpacingChar">
    <w:name w:val="No Spacing Char"/>
    <w:basedOn w:val="DefaultParagraphFont"/>
    <w:link w:val="NoSpacing"/>
    <w:uiPriority w:val="1"/>
    <w:rsid w:val="00921549"/>
    <w:rPr>
      <w:rFonts w:eastAsia="Calibri" w:cstheme="minorHAnsi"/>
    </w:rPr>
  </w:style>
  <w:style w:type="character" w:customStyle="1" w:styleId="TableChar">
    <w:name w:val="Table Char"/>
    <w:basedOn w:val="NoSpacingChar"/>
    <w:link w:val="Table"/>
    <w:rsid w:val="00921549"/>
    <w:rPr>
      <w:rFonts w:eastAsia="Calibri" w:cstheme="minorHAnsi"/>
    </w:rPr>
  </w:style>
  <w:style w:type="character" w:customStyle="1" w:styleId="Heading4Char">
    <w:name w:val="Heading 4 Char"/>
    <w:basedOn w:val="DefaultParagraphFont"/>
    <w:link w:val="Heading4"/>
    <w:uiPriority w:val="9"/>
    <w:rsid w:val="0038197B"/>
    <w:rPr>
      <w:rFonts w:eastAsia="Calibri"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1088868311434213" TargetMode="External"/><Relationship Id="rId18" Type="http://schemas.openxmlformats.org/officeDocument/2006/relationships/hyperlink" Target="https://doi.org/10.1371/journal.pone.0150867" TargetMode="External"/><Relationship Id="rId26" Type="http://schemas.openxmlformats.org/officeDocument/2006/relationships/hyperlink" Target="https://www.eur.nl/en/ehero/news/happiness-during-covid-19-dutch-population-less-happy-especially-parents-and-people-income" TargetMode="External"/><Relationship Id="rId39" Type="http://schemas.openxmlformats.org/officeDocument/2006/relationships/hyperlink" Target="https://psycnet.apa.org/doi/10.1037/a0025948" TargetMode="External"/><Relationship Id="rId21" Type="http://schemas.openxmlformats.org/officeDocument/2006/relationships/hyperlink" Target="https://doi.org/10.3758/s13428-016-0823-0" TargetMode="External"/><Relationship Id="rId34" Type="http://schemas.openxmlformats.org/officeDocument/2006/relationships/hyperlink" Target="https://issbd.org/ContentDisplay.aspx?src=previousBulletins" TargetMode="External"/><Relationship Id="rId42" Type="http://schemas.openxmlformats.org/officeDocument/2006/relationships/hyperlink" Target="https://doi.org/10.1016/j.schres.2014.07.027" TargetMode="External"/><Relationship Id="rId47" Type="http://schemas.openxmlformats.org/officeDocument/2006/relationships/hyperlink" Target="https://doi.org/10.1016/j.psychres.2020.113419" TargetMode="External"/><Relationship Id="rId50" Type="http://schemas.openxmlformats.org/officeDocument/2006/relationships/hyperlink" Target="https://dx.doi.org/10.3389%2Ffpsyg.2020.568907" TargetMode="External"/><Relationship Id="rId55" Type="http://schemas.openxmlformats.org/officeDocument/2006/relationships/fontTable" Target="fontTable.xml"/><Relationship Id="rId7" Type="http://schemas.openxmlformats.org/officeDocument/2006/relationships/hyperlink" Target="https://osf.io/qhyue/" TargetMode="External"/><Relationship Id="rId2" Type="http://schemas.openxmlformats.org/officeDocument/2006/relationships/styles" Target="styles.xml"/><Relationship Id="rId16" Type="http://schemas.openxmlformats.org/officeDocument/2006/relationships/hyperlink" Target="https://doi.org/10.3389/fpsyg.2020.577972" TargetMode="External"/><Relationship Id="rId29" Type="http://schemas.openxmlformats.org/officeDocument/2006/relationships/hyperlink" Target="https://doi.org/10.1371/journal.pmed.1000316" TargetMode="External"/><Relationship Id="rId11" Type="http://schemas.openxmlformats.org/officeDocument/2006/relationships/hyperlink" Target="https://doi.org/10.1016/j.jpubeco.2020.104245" TargetMode="External"/><Relationship Id="rId24" Type="http://schemas.openxmlformats.org/officeDocument/2006/relationships/hyperlink" Target="https://doi.org/10.1353/pbm.2003.0063" TargetMode="External"/><Relationship Id="rId32" Type="http://schemas.openxmlformats.org/officeDocument/2006/relationships/hyperlink" Target="https://doi.org/10.1371/journal.pmed.1000316" TargetMode="External"/><Relationship Id="rId37" Type="http://schemas.openxmlformats.org/officeDocument/2006/relationships/hyperlink" Target="https://doi.org/10.1111%2Fj.1467-8721.2007.00479.x" TargetMode="External"/><Relationship Id="rId40" Type="http://schemas.openxmlformats.org/officeDocument/2006/relationships/hyperlink" Target="https://www.ncbi.nlm.nih.gov/pmc/articles/PMC3576830" TargetMode="External"/><Relationship Id="rId45" Type="http://schemas.openxmlformats.org/officeDocument/2006/relationships/hyperlink" Target="https://doi.org/10.1177/0146167214529799" TargetMode="External"/><Relationship Id="rId53" Type="http://schemas.openxmlformats.org/officeDocument/2006/relationships/image" Target="media/image1.png"/><Relationship Id="rId58" Type="http://schemas.microsoft.com/office/2018/08/relationships/commentsExtensible" Target="commentsExtensible.xml"/><Relationship Id="rId5" Type="http://schemas.openxmlformats.org/officeDocument/2006/relationships/hyperlink" Target="https://www.eur.nl/en/ehero/news/happiness-during-covid-19-dutch-population-less-happy-especially-parents-and-people-income" TargetMode="External"/><Relationship Id="rId19" Type="http://schemas.openxmlformats.org/officeDocument/2006/relationships/hyperlink" Target="https://doi.org/10.1016/j.socscimed.2020.113541"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share-project.org/uploads/tx_sharepublications/SHARE_WP_63-2021_01.pdf" TargetMode="External"/><Relationship Id="rId22" Type="http://schemas.openxmlformats.org/officeDocument/2006/relationships/hyperlink" Target="https://doi.org/10.1007/978-90-481-2350-6_5" TargetMode="External"/><Relationship Id="rId27" Type="http://schemas.openxmlformats.org/officeDocument/2006/relationships/hyperlink" Target="https://doi.org/10.1177%2F0165025413515404" TargetMode="External"/><Relationship Id="rId30" Type="http://schemas.openxmlformats.org/officeDocument/2006/relationships/hyperlink" Target="https://doi.org/10.1371/journal.pmed.1000316" TargetMode="External"/><Relationship Id="rId35" Type="http://schemas.openxmlformats.org/officeDocument/2006/relationships/hyperlink" Target="https://doi.org/10.1016/j.jpubeco.2020.104241" TargetMode="External"/><Relationship Id="rId43" Type="http://schemas.openxmlformats.org/officeDocument/2006/relationships/hyperlink" Target="https://dx.doi.org/10.1177%2F0165025409343765" TargetMode="External"/><Relationship Id="rId48" Type="http://schemas.openxmlformats.org/officeDocument/2006/relationships/hyperlink" Target="https://doi.org/10.1111/j.1745-6924.%202009.01122.x" TargetMode="External"/><Relationship Id="rId56" Type="http://schemas.microsoft.com/office/2011/relationships/people" Target="people.xml"/><Relationship Id="rId8" Type="http://schemas.openxmlformats.org/officeDocument/2006/relationships/hyperlink" Target="https://osf.io/t4n39/?view_only=97301755123740f1b4d109139a97188c" TargetMode="External"/><Relationship Id="rId51" Type="http://schemas.openxmlformats.org/officeDocument/2006/relationships/hyperlink" Target="https://psycnet.apa.org/doi/10.1037/a0028601" TargetMode="External"/><Relationship Id="rId3" Type="http://schemas.openxmlformats.org/officeDocument/2006/relationships/settings" Target="settings.xml"/><Relationship Id="rId12" Type="http://schemas.openxmlformats.org/officeDocument/2006/relationships/hyperlink" Target="https://doi.org/10.1101/2020.12.15.20248251" TargetMode="External"/><Relationship Id="rId17" Type="http://schemas.openxmlformats.org/officeDocument/2006/relationships/hyperlink" Target="https://doi.org/10.1038/s41562-017-0189-z" TargetMode="External"/><Relationship Id="rId25" Type="http://schemas.openxmlformats.org/officeDocument/2006/relationships/hyperlink" Target="https://doi.org/10.1146/ANNUREV.CLINPSY.1.102803.144154" TargetMode="External"/><Relationship Id="rId33" Type="http://schemas.openxmlformats.org/officeDocument/2006/relationships/hyperlink" Target="https://doi.org/10.1037/0022-006x.73.3.539" TargetMode="External"/><Relationship Id="rId38" Type="http://schemas.openxmlformats.org/officeDocument/2006/relationships/hyperlink" Target="https://doi.org/10.1111/j.0963-7214.2004.01501002.x" TargetMode="External"/><Relationship Id="rId46" Type="http://schemas.openxmlformats.org/officeDocument/2006/relationships/hyperlink" Target="https://doi.org/10.1177/0146167214529799" TargetMode="External"/><Relationship Id="rId59" Type="http://schemas.microsoft.com/office/2016/09/relationships/commentsIds" Target="commentsIds.xml"/><Relationship Id="rId20" Type="http://schemas.openxmlformats.org/officeDocument/2006/relationships/hyperlink" Target="https://doi.org/10.1353/pbm.2003.0063" TargetMode="External"/><Relationship Id="rId41" Type="http://schemas.openxmlformats.org/officeDocument/2006/relationships/hyperlink" Target="https://doi.org/10.1023/A:1006907811502" TargetMode="External"/><Relationship Id="rId54"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mailto:psycorona@rug.nl" TargetMode="External"/><Relationship Id="rId15" Type="http://schemas.openxmlformats.org/officeDocument/2006/relationships/hyperlink" Target="http://doi.org/10.17617/2.329288" TargetMode="External"/><Relationship Id="rId23" Type="http://schemas.openxmlformats.org/officeDocument/2006/relationships/hyperlink" Target="https://doi.org/10.1111%2F1467-9280.00415" TargetMode="External"/><Relationship Id="rId28" Type="http://schemas.openxmlformats.org/officeDocument/2006/relationships/hyperlink" Target="https://doi.org/10.1007/BF00302333" TargetMode="External"/><Relationship Id="rId36" Type="http://schemas.openxmlformats.org/officeDocument/2006/relationships/hyperlink" Target="https://www.tandfonline.com/doi/full/10.1080/13607863.2021.1902468" TargetMode="External"/><Relationship Id="rId49" Type="http://schemas.openxmlformats.org/officeDocument/2006/relationships/hyperlink" Target="https://doi.org/10.1016/j.bbi.2020.05.048" TargetMode="External"/><Relationship Id="rId57" Type="http://schemas.openxmlformats.org/officeDocument/2006/relationships/theme" Target="theme/theme1.xml"/><Relationship Id="rId10" Type="http://schemas.microsoft.com/office/2011/relationships/commentsExtended" Target="commentsExtended.xml"/><Relationship Id="rId31" Type="http://schemas.openxmlformats.org/officeDocument/2006/relationships/hyperlink" Target="https://doi.org/10.1177/1745691614568352" TargetMode="External"/><Relationship Id="rId44" Type="http://schemas.openxmlformats.org/officeDocument/2006/relationships/hyperlink" Target="https://dx.doi.org/10.1177%2F0165025409343765" TargetMode="External"/><Relationship Id="rId52" Type="http://schemas.openxmlformats.org/officeDocument/2006/relationships/hyperlink" Target="https://dx.doi.org/10.1017/S0144686X1000049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25</Pages>
  <Words>6476</Words>
  <Characters>36917</Characters>
  <Application>Microsoft Office Word</Application>
  <DocSecurity>0</DocSecurity>
  <Lines>307</Lines>
  <Paragraphs>86</Paragraphs>
  <ScaleCrop>false</ScaleCrop>
  <HeadingPairs>
    <vt:vector size="6" baseType="variant">
      <vt:variant>
        <vt:lpstr>Title</vt:lpstr>
      </vt:variant>
      <vt:variant>
        <vt:i4>1</vt:i4>
      </vt:variant>
      <vt:variant>
        <vt:lpstr>Titel</vt:lpstr>
      </vt:variant>
      <vt:variant>
        <vt:i4>1</vt:i4>
      </vt:variant>
      <vt:variant>
        <vt:lpstr>Koppen</vt:lpstr>
      </vt:variant>
      <vt:variant>
        <vt:i4>1</vt:i4>
      </vt:variant>
    </vt:vector>
  </HeadingPairs>
  <TitlesOfParts>
    <vt:vector size="3" baseType="lpstr">
      <vt:lpstr/>
      <vt:lpstr/>
      <vt:lpstr>References</vt:lpstr>
    </vt:vector>
  </TitlesOfParts>
  <Company/>
  <LinksUpToDate>false</LinksUpToDate>
  <CharactersWithSpaces>43307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Buijs</dc:creator>
  <cp:keywords/>
  <dc:description/>
  <cp:lastModifiedBy>V.L. Buijs</cp:lastModifiedBy>
  <cp:revision>3</cp:revision>
  <dcterms:created xsi:type="dcterms:W3CDTF">2021-05-11T10:33:00Z</dcterms:created>
  <dcterms:modified xsi:type="dcterms:W3CDTF">2021-05-11T11:29:00Z</dcterms:modified>
</cp:coreProperties>
</file>