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244" w:rsidRPr="00BF6DE9" w:rsidRDefault="00354244" w:rsidP="00BF6DE9">
      <w:pPr>
        <w:jc w:val="center"/>
        <w:rPr>
          <w:b/>
          <w:bCs/>
        </w:rPr>
      </w:pPr>
      <w:r w:rsidRPr="00BF6DE9">
        <w:rPr>
          <w:b/>
          <w:bCs/>
        </w:rPr>
        <w:t>Online Appendix</w:t>
      </w:r>
    </w:p>
    <w:p w:rsidR="00354244" w:rsidRDefault="00354244"/>
    <w:p w:rsidR="00615D22" w:rsidRDefault="00615D22" w:rsidP="00813E7C">
      <w:pPr>
        <w:spacing w:line="480" w:lineRule="auto"/>
      </w:pPr>
      <w:r>
        <w:t xml:space="preserve">We used the </w:t>
      </w:r>
      <w:proofErr w:type="spellStart"/>
      <w:r w:rsidRPr="00813E7C">
        <w:rPr>
          <w:i/>
          <w:iCs/>
        </w:rPr>
        <w:t>runMI</w:t>
      </w:r>
      <w:proofErr w:type="spellEnd"/>
      <w:r w:rsidRPr="00615D22">
        <w:t xml:space="preserve"> function</w:t>
      </w:r>
      <w:r>
        <w:t xml:space="preserve"> of the </w:t>
      </w:r>
      <w:proofErr w:type="spellStart"/>
      <w:r w:rsidRPr="00813E7C">
        <w:rPr>
          <w:i/>
          <w:iCs/>
        </w:rPr>
        <w:t>SemTools</w:t>
      </w:r>
      <w:proofErr w:type="spellEnd"/>
      <w:r>
        <w:t xml:space="preserve"> package </w:t>
      </w:r>
      <w:r w:rsidR="007D472E">
        <w:t>(</w:t>
      </w:r>
      <w:proofErr w:type="spellStart"/>
      <w:r w:rsidR="007D472E">
        <w:t>Jorgesen</w:t>
      </w:r>
      <w:proofErr w:type="spellEnd"/>
      <w:r w:rsidR="007D472E">
        <w:t xml:space="preserve"> et al., 2022) </w:t>
      </w:r>
      <w:r>
        <w:t xml:space="preserve">to conduct the </w:t>
      </w:r>
      <w:r w:rsidR="00813E7C">
        <w:t>structural equation models (</w:t>
      </w:r>
      <w:r>
        <w:t>SEMs</w:t>
      </w:r>
      <w:r w:rsidR="00813E7C">
        <w:t>)</w:t>
      </w:r>
      <w:r>
        <w:t xml:space="preserve"> with imputed data, based on five imputations. The </w:t>
      </w:r>
      <w:proofErr w:type="spellStart"/>
      <w:r w:rsidRPr="00813E7C">
        <w:rPr>
          <w:i/>
          <w:iCs/>
        </w:rPr>
        <w:t>runMI</w:t>
      </w:r>
      <w:proofErr w:type="spellEnd"/>
      <w:r w:rsidRPr="00615D22">
        <w:t xml:space="preserve"> function</w:t>
      </w:r>
      <w:r>
        <w:t xml:space="preserve"> </w:t>
      </w:r>
      <w:r w:rsidRPr="00615D22">
        <w:t xml:space="preserve">takes data with missing observations, multiple imputes the data, runs a SEM and combines the results using Rubin's </w:t>
      </w:r>
      <w:r>
        <w:t>(</w:t>
      </w:r>
      <w:r w:rsidRPr="00615D22">
        <w:t>1987</w:t>
      </w:r>
      <w:r>
        <w:t xml:space="preserve">) </w:t>
      </w:r>
      <w:r w:rsidRPr="00615D22">
        <w:t xml:space="preserve">rules. </w:t>
      </w:r>
    </w:p>
    <w:p w:rsidR="00615D22" w:rsidRDefault="00615D22" w:rsidP="00615D22"/>
    <w:tbl>
      <w:tblPr>
        <w:tblW w:w="9360" w:type="dxa"/>
        <w:tblCellMar>
          <w:top w:w="15" w:type="dxa"/>
          <w:left w:w="15" w:type="dxa"/>
          <w:bottom w:w="15" w:type="dxa"/>
          <w:right w:w="15" w:type="dxa"/>
        </w:tblCellMar>
        <w:tblLook w:val="04A0" w:firstRow="1" w:lastRow="0" w:firstColumn="1" w:lastColumn="0" w:noHBand="0" w:noVBand="1"/>
      </w:tblPr>
      <w:tblGrid>
        <w:gridCol w:w="5289"/>
        <w:gridCol w:w="676"/>
        <w:gridCol w:w="706"/>
        <w:gridCol w:w="704"/>
        <w:gridCol w:w="748"/>
        <w:gridCol w:w="696"/>
        <w:gridCol w:w="541"/>
      </w:tblGrid>
      <w:tr w:rsidR="00EA2221" w:rsidRPr="00BD3D4F" w:rsidTr="00C35D05">
        <w:tc>
          <w:tcPr>
            <w:tcW w:w="9360" w:type="dxa"/>
            <w:gridSpan w:val="7"/>
            <w:tcBorders>
              <w:bottom w:val="single" w:sz="6" w:space="0" w:color="000000"/>
            </w:tcBorders>
          </w:tcPr>
          <w:p w:rsidR="00EA2221" w:rsidRPr="00BD3D4F" w:rsidRDefault="00EA2221" w:rsidP="00C35D05">
            <w:pPr>
              <w:spacing w:line="480" w:lineRule="auto"/>
              <w:rPr>
                <w:rFonts w:asciiTheme="majorBidi" w:hAnsiTheme="majorBidi" w:cstheme="majorBidi"/>
                <w:b/>
                <w:bCs/>
              </w:rPr>
            </w:pPr>
            <w:r w:rsidRPr="00BD3D4F">
              <w:rPr>
                <w:rFonts w:asciiTheme="majorBidi" w:hAnsiTheme="majorBidi" w:cstheme="majorBidi"/>
                <w:b/>
                <w:bCs/>
              </w:rPr>
              <w:t xml:space="preserve">Table </w:t>
            </w:r>
            <w:r>
              <w:rPr>
                <w:rFonts w:asciiTheme="majorBidi" w:hAnsiTheme="majorBidi" w:cstheme="majorBidi"/>
                <w:b/>
                <w:bCs/>
              </w:rPr>
              <w:t>A1</w:t>
            </w:r>
          </w:p>
          <w:p w:rsidR="00EA2221" w:rsidRPr="00BD3D4F" w:rsidRDefault="00EA2221" w:rsidP="00C35D05">
            <w:pPr>
              <w:spacing w:after="240"/>
              <w:rPr>
                <w:rFonts w:asciiTheme="majorBidi" w:hAnsiTheme="majorBidi" w:cstheme="majorBidi"/>
                <w:i/>
                <w:iCs/>
                <w:shd w:val="clear" w:color="auto" w:fill="FFFFFF"/>
              </w:rPr>
            </w:pPr>
            <w:r w:rsidRPr="00BD3D4F">
              <w:rPr>
                <w:rFonts w:asciiTheme="majorBidi" w:hAnsiTheme="majorBidi" w:cstheme="majorBidi"/>
              </w:rPr>
              <w:t>Study 3: Parameter estimates of the direct relationship between T1 financial stress and T2 quit intention (Step 1), and of the relationship between T1 financial stress and T2 quit intention mediated through T1 affective commitment (Study 3)</w:t>
            </w:r>
            <w:r w:rsidR="00615D22">
              <w:rPr>
                <w:rFonts w:asciiTheme="majorBidi" w:hAnsiTheme="majorBidi" w:cstheme="majorBidi"/>
              </w:rPr>
              <w:t xml:space="preserve"> based on imputed data</w:t>
            </w:r>
          </w:p>
        </w:tc>
      </w:tr>
      <w:tr w:rsidR="00EA2221" w:rsidRPr="00BD3D4F" w:rsidTr="00354244">
        <w:trPr>
          <w:trHeight w:val="79"/>
        </w:trPr>
        <w:tc>
          <w:tcPr>
            <w:tcW w:w="5289" w:type="dxa"/>
            <w:tcBorders>
              <w:top w:val="single" w:sz="6" w:space="0" w:color="000000"/>
              <w:bottom w:val="single" w:sz="4" w:space="0" w:color="auto"/>
            </w:tcBorders>
            <w:tcMar>
              <w:top w:w="15" w:type="dxa"/>
              <w:left w:w="60" w:type="dxa"/>
              <w:bottom w:w="15" w:type="dxa"/>
              <w:right w:w="60" w:type="dxa"/>
            </w:tcMar>
            <w:vAlign w:val="center"/>
            <w:hideMark/>
          </w:tcPr>
          <w:p w:rsidR="00EA2221" w:rsidRPr="00BD3D4F" w:rsidRDefault="00EA2221" w:rsidP="00C35D05">
            <w:pPr>
              <w:rPr>
                <w:rFonts w:asciiTheme="majorBidi" w:hAnsiTheme="majorBidi" w:cstheme="majorBidi"/>
              </w:rPr>
            </w:pPr>
            <w:r w:rsidRPr="00BD3D4F">
              <w:rPr>
                <w:rFonts w:asciiTheme="majorBidi" w:hAnsiTheme="majorBidi" w:cstheme="majorBidi"/>
              </w:rPr>
              <w:t>Predictor</w:t>
            </w:r>
          </w:p>
        </w:tc>
        <w:tc>
          <w:tcPr>
            <w:tcW w:w="676" w:type="dxa"/>
            <w:tcBorders>
              <w:top w:val="single" w:sz="6" w:space="0" w:color="000000"/>
              <w:bottom w:val="single" w:sz="4" w:space="0" w:color="auto"/>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i/>
                <w:iCs/>
              </w:rPr>
              <w:t>B</w:t>
            </w:r>
          </w:p>
        </w:tc>
        <w:tc>
          <w:tcPr>
            <w:tcW w:w="706" w:type="dxa"/>
            <w:tcBorders>
              <w:top w:val="single" w:sz="6" w:space="0" w:color="000000"/>
              <w:bottom w:val="single" w:sz="4" w:space="0" w:color="auto"/>
            </w:tcBorders>
            <w:vAlign w:val="center"/>
          </w:tcPr>
          <w:p w:rsidR="00EA2221" w:rsidRPr="00BD3D4F" w:rsidRDefault="00EA2221" w:rsidP="00C35D05">
            <w:pPr>
              <w:ind w:firstLine="88"/>
              <w:jc w:val="right"/>
              <w:rPr>
                <w:rFonts w:asciiTheme="majorBidi" w:hAnsiTheme="majorBidi" w:cstheme="majorBidi"/>
              </w:rPr>
            </w:pPr>
            <w:r>
              <w:rPr>
                <w:rFonts w:asciiTheme="majorBidi" w:hAnsiTheme="majorBidi" w:cstheme="majorBidi"/>
              </w:rPr>
              <w:t>SE</w:t>
            </w:r>
          </w:p>
        </w:tc>
        <w:tc>
          <w:tcPr>
            <w:tcW w:w="1452" w:type="dxa"/>
            <w:gridSpan w:val="2"/>
            <w:tcBorders>
              <w:top w:val="single" w:sz="6" w:space="0" w:color="000000"/>
              <w:bottom w:val="single" w:sz="4" w:space="0" w:color="auto"/>
            </w:tcBorders>
            <w:tcMar>
              <w:top w:w="15" w:type="dxa"/>
              <w:left w:w="60" w:type="dxa"/>
              <w:bottom w:w="15" w:type="dxa"/>
              <w:right w:w="60" w:type="dxa"/>
            </w:tcMar>
            <w:vAlign w:val="center"/>
            <w:hideMark/>
          </w:tcPr>
          <w:p w:rsidR="00EA2221" w:rsidRPr="00BD3D4F" w:rsidRDefault="00EA2221" w:rsidP="00C35D05">
            <w:pPr>
              <w:ind w:firstLine="88"/>
              <w:jc w:val="center"/>
              <w:rPr>
                <w:rFonts w:asciiTheme="majorBidi" w:hAnsiTheme="majorBidi" w:cstheme="majorBidi"/>
                <w:vertAlign w:val="subscript"/>
              </w:rPr>
            </w:pPr>
            <w:r w:rsidRPr="00BD3D4F">
              <w:rPr>
                <w:rFonts w:asciiTheme="majorBidi" w:hAnsiTheme="majorBidi" w:cstheme="majorBidi"/>
              </w:rPr>
              <w:t>95% CI</w:t>
            </w:r>
            <w:r w:rsidRPr="00BD3D4F">
              <w:rPr>
                <w:rFonts w:asciiTheme="majorBidi" w:hAnsiTheme="majorBidi" w:cstheme="majorBidi"/>
                <w:i/>
                <w:iCs/>
                <w:vertAlign w:val="subscript"/>
              </w:rPr>
              <w:t>B</w:t>
            </w:r>
          </w:p>
        </w:tc>
        <w:tc>
          <w:tcPr>
            <w:tcW w:w="696" w:type="dxa"/>
            <w:tcBorders>
              <w:top w:val="single" w:sz="6" w:space="0" w:color="000000"/>
              <w:bottom w:val="single" w:sz="4" w:space="0" w:color="auto"/>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i/>
                <w:iCs/>
              </w:rPr>
              <w:t>p</w:t>
            </w:r>
          </w:p>
        </w:tc>
        <w:tc>
          <w:tcPr>
            <w:tcW w:w="541" w:type="dxa"/>
            <w:tcBorders>
              <w:top w:val="single" w:sz="6" w:space="0" w:color="000000"/>
              <w:bottom w:val="single" w:sz="4" w:space="0" w:color="auto"/>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i/>
                <w:iCs/>
              </w:rPr>
            </w:pPr>
            <w:r w:rsidRPr="00BD3D4F">
              <w:rPr>
                <w:rFonts w:asciiTheme="majorBidi" w:hAnsiTheme="majorBidi" w:cstheme="majorBidi"/>
                <w:i/>
                <w:iCs/>
                <w:shd w:val="clear" w:color="auto" w:fill="FFFFFF"/>
              </w:rPr>
              <w:t xml:space="preserve">  β</w:t>
            </w:r>
          </w:p>
        </w:tc>
      </w:tr>
      <w:tr w:rsidR="00EA2221" w:rsidRPr="00BD3D4F" w:rsidTr="00354244">
        <w:tc>
          <w:tcPr>
            <w:tcW w:w="8123" w:type="dxa"/>
            <w:gridSpan w:val="5"/>
            <w:tcBorders>
              <w:top w:val="single" w:sz="4" w:space="0" w:color="auto"/>
            </w:tcBorders>
          </w:tcPr>
          <w:p w:rsidR="00EA2221" w:rsidRPr="00BD3D4F" w:rsidRDefault="00EA2221" w:rsidP="00C35D05">
            <w:pPr>
              <w:rPr>
                <w:rFonts w:asciiTheme="majorBidi" w:hAnsiTheme="majorBidi" w:cstheme="majorBidi"/>
              </w:rPr>
            </w:pPr>
            <w:r w:rsidRPr="00BD3D4F">
              <w:rPr>
                <w:rFonts w:asciiTheme="majorBidi" w:hAnsiTheme="majorBidi" w:cstheme="majorBidi"/>
              </w:rPr>
              <w:t>Step 1: Direct effects (DV: Quit intention)</w:t>
            </w:r>
          </w:p>
        </w:tc>
        <w:tc>
          <w:tcPr>
            <w:tcW w:w="696" w:type="dxa"/>
            <w:tcBorders>
              <w:top w:val="single" w:sz="4" w:space="0" w:color="auto"/>
            </w:tcBorders>
            <w:tcMar>
              <w:top w:w="15" w:type="dxa"/>
              <w:left w:w="60" w:type="dxa"/>
              <w:bottom w:w="15" w:type="dxa"/>
              <w:right w:w="60" w:type="dxa"/>
            </w:tcMar>
            <w:vAlign w:val="center"/>
            <w:hideMark/>
          </w:tcPr>
          <w:p w:rsidR="00EA2221" w:rsidRPr="00BD3D4F" w:rsidRDefault="00EA2221" w:rsidP="00C35D05">
            <w:pPr>
              <w:rPr>
                <w:rFonts w:asciiTheme="majorBidi" w:hAnsiTheme="majorBidi" w:cstheme="majorBidi"/>
              </w:rPr>
            </w:pPr>
          </w:p>
        </w:tc>
        <w:tc>
          <w:tcPr>
            <w:tcW w:w="541" w:type="dxa"/>
            <w:tcBorders>
              <w:top w:val="single" w:sz="4" w:space="0" w:color="auto"/>
            </w:tcBorders>
            <w:tcMar>
              <w:top w:w="15" w:type="dxa"/>
              <w:left w:w="60" w:type="dxa"/>
              <w:bottom w:w="15" w:type="dxa"/>
              <w:right w:w="60" w:type="dxa"/>
            </w:tcMar>
            <w:vAlign w:val="center"/>
            <w:hideMark/>
          </w:tcPr>
          <w:p w:rsidR="00EA2221" w:rsidRPr="00BD3D4F" w:rsidRDefault="00EA2221" w:rsidP="00C35D05">
            <w:pPr>
              <w:rPr>
                <w:rFonts w:asciiTheme="majorBidi" w:hAnsiTheme="majorBidi" w:cstheme="majorBidi"/>
              </w:rPr>
            </w:pP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T1 Financial stress</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615D22">
              <w:rPr>
                <w:rFonts w:asciiTheme="majorBidi" w:hAnsiTheme="majorBidi" w:cstheme="majorBidi"/>
              </w:rPr>
              <w:t>40</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w:t>
            </w:r>
            <w:r w:rsidR="00615D22">
              <w:rPr>
                <w:rFonts w:asciiTheme="majorBidi" w:hAnsiTheme="majorBidi" w:cstheme="majorBidi"/>
              </w:rPr>
              <w:t>2</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0.1</w:t>
            </w:r>
            <w:r w:rsidR="00A01B67">
              <w:rPr>
                <w:rFonts w:asciiTheme="majorBidi" w:hAnsiTheme="majorBidi" w:cstheme="majorBidi"/>
              </w:rPr>
              <w:t>5</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0.6</w:t>
            </w:r>
            <w:r w:rsidR="00A01B67">
              <w:rPr>
                <w:rFonts w:asciiTheme="majorBidi" w:hAnsiTheme="majorBidi" w:cstheme="majorBidi"/>
              </w:rPr>
              <w:t>4</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615D22">
              <w:rPr>
                <w:rFonts w:asciiTheme="majorBidi" w:hAnsiTheme="majorBidi" w:cstheme="majorBidi"/>
              </w:rPr>
              <w:t>02</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.2</w:t>
            </w:r>
            <w:r w:rsidR="00A01B67">
              <w:rPr>
                <w:rFonts w:asciiTheme="majorBidi" w:hAnsiTheme="majorBidi" w:cstheme="majorBidi"/>
              </w:rPr>
              <w:t>3</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T1 Age</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-0.01</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&lt;0.01</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w:t>
            </w:r>
            <w:r w:rsidR="00A01B67">
              <w:rPr>
                <w:rFonts w:asciiTheme="majorBidi" w:hAnsiTheme="majorBidi" w:cstheme="majorBidi"/>
              </w:rPr>
              <w:t>3</w:t>
            </w:r>
          </w:p>
        </w:tc>
        <w:tc>
          <w:tcPr>
            <w:tcW w:w="748" w:type="dxa"/>
            <w:tcMar>
              <w:top w:w="15" w:type="dxa"/>
              <w:left w:w="60" w:type="dxa"/>
              <w:bottom w:w="15" w:type="dxa"/>
              <w:right w:w="60" w:type="dxa"/>
            </w:tcMar>
            <w:vAlign w:val="center"/>
            <w:hideMark/>
          </w:tcPr>
          <w:p w:rsidR="00EA2221" w:rsidRPr="00BD3D4F" w:rsidRDefault="00A01B67" w:rsidP="00C35D05">
            <w:pPr>
              <w:jc w:val="right"/>
              <w:rPr>
                <w:rFonts w:asciiTheme="majorBidi" w:hAnsiTheme="majorBidi" w:cstheme="majorBidi"/>
              </w:rPr>
            </w:pPr>
            <w:r>
              <w:rPr>
                <w:rFonts w:asciiTheme="majorBidi" w:hAnsiTheme="majorBidi" w:cstheme="majorBidi"/>
              </w:rPr>
              <w:t>-</w:t>
            </w:r>
            <w:r w:rsidR="00EA2221" w:rsidRPr="00BD3D4F">
              <w:rPr>
                <w:rFonts w:asciiTheme="majorBidi" w:hAnsiTheme="majorBidi" w:cstheme="majorBidi"/>
              </w:rPr>
              <w:t>0.0</w:t>
            </w:r>
            <w:r>
              <w:rPr>
                <w:rFonts w:asciiTheme="majorBidi" w:hAnsiTheme="majorBidi" w:cstheme="majorBidi"/>
              </w:rPr>
              <w:t>0</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w:t>
            </w:r>
            <w:r w:rsidR="00615D22">
              <w:rPr>
                <w:rFonts w:asciiTheme="majorBidi" w:hAnsiTheme="majorBidi" w:cstheme="majorBidi"/>
              </w:rPr>
              <w:t>044</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-.1</w:t>
            </w:r>
            <w:r w:rsidR="00A01B67">
              <w:rPr>
                <w:rFonts w:asciiTheme="majorBidi" w:hAnsiTheme="majorBidi" w:cstheme="majorBidi"/>
              </w:rPr>
              <w:t>5</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T1 Gender</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w:t>
            </w:r>
            <w:r w:rsidR="00615D22">
              <w:rPr>
                <w:rFonts w:asciiTheme="majorBidi" w:hAnsiTheme="majorBidi" w:cstheme="majorBidi"/>
              </w:rPr>
              <w:t>8</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w:t>
            </w:r>
            <w:r w:rsidR="00615D22">
              <w:rPr>
                <w:rFonts w:asciiTheme="majorBidi" w:hAnsiTheme="majorBidi" w:cstheme="majorBidi"/>
              </w:rPr>
              <w:t>3</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A01B67">
              <w:rPr>
                <w:rFonts w:asciiTheme="majorBidi" w:hAnsiTheme="majorBidi" w:cstheme="majorBidi"/>
              </w:rPr>
              <w:t>33</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A01B67">
              <w:rPr>
                <w:rFonts w:asciiTheme="majorBidi" w:hAnsiTheme="majorBidi" w:cstheme="majorBidi"/>
              </w:rPr>
              <w:t>18</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w:t>
            </w:r>
            <w:r w:rsidR="00615D22">
              <w:rPr>
                <w:rFonts w:asciiTheme="majorBidi" w:hAnsiTheme="majorBidi" w:cstheme="majorBidi"/>
              </w:rPr>
              <w:t>543</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A01B67">
              <w:rPr>
                <w:rFonts w:asciiTheme="majorBidi" w:hAnsiTheme="majorBidi" w:cstheme="majorBidi"/>
              </w:rPr>
              <w:t>4</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T1 Business age</w:t>
            </w:r>
          </w:p>
        </w:tc>
        <w:tc>
          <w:tcPr>
            <w:tcW w:w="676" w:type="dxa"/>
            <w:tcMar>
              <w:top w:w="15" w:type="dxa"/>
              <w:left w:w="60" w:type="dxa"/>
              <w:bottom w:w="15" w:type="dxa"/>
              <w:right w:w="60" w:type="dxa"/>
            </w:tcMar>
            <w:vAlign w:val="center"/>
            <w:hideMark/>
          </w:tcPr>
          <w:p w:rsidR="00EA2221" w:rsidRPr="00BD3D4F" w:rsidRDefault="00A01B67" w:rsidP="00C35D05">
            <w:pPr>
              <w:jc w:val="right"/>
              <w:rPr>
                <w:rFonts w:asciiTheme="majorBidi" w:hAnsiTheme="majorBidi" w:cstheme="majorBidi"/>
              </w:rPr>
            </w:pPr>
            <w:r>
              <w:rPr>
                <w:rFonts w:asciiTheme="majorBidi" w:hAnsiTheme="majorBidi" w:cstheme="majorBidi"/>
              </w:rPr>
              <w:t>-</w:t>
            </w:r>
            <w:r w:rsidR="00EA2221" w:rsidRPr="00BD3D4F">
              <w:rPr>
                <w:rFonts w:asciiTheme="majorBidi" w:hAnsiTheme="majorBidi" w:cstheme="majorBidi"/>
              </w:rPr>
              <w:t>0.0</w:t>
            </w:r>
            <w:r>
              <w:rPr>
                <w:rFonts w:asciiTheme="majorBidi" w:hAnsiTheme="majorBidi" w:cstheme="majorBidi"/>
              </w:rPr>
              <w:t>0</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0.01</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-0.02</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0.02</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w:t>
            </w:r>
            <w:r w:rsidR="00615D22">
              <w:rPr>
                <w:rFonts w:asciiTheme="majorBidi" w:hAnsiTheme="majorBidi" w:cstheme="majorBidi"/>
              </w:rPr>
              <w:t>927</w:t>
            </w:r>
          </w:p>
        </w:tc>
        <w:tc>
          <w:tcPr>
            <w:tcW w:w="541" w:type="dxa"/>
            <w:tcMar>
              <w:top w:w="15" w:type="dxa"/>
              <w:left w:w="60" w:type="dxa"/>
              <w:bottom w:w="15" w:type="dxa"/>
              <w:right w:w="60" w:type="dxa"/>
            </w:tcMar>
            <w:vAlign w:val="center"/>
            <w:hideMark/>
          </w:tcPr>
          <w:p w:rsidR="00EA2221" w:rsidRPr="00BD3D4F" w:rsidRDefault="00A01B67" w:rsidP="00C35D05">
            <w:pPr>
              <w:jc w:val="right"/>
              <w:rPr>
                <w:rFonts w:asciiTheme="majorBidi" w:hAnsiTheme="majorBidi" w:cstheme="majorBidi"/>
              </w:rPr>
            </w:pPr>
            <w:r>
              <w:rPr>
                <w:rFonts w:asciiTheme="majorBidi" w:hAnsiTheme="majorBidi" w:cstheme="majorBidi"/>
              </w:rPr>
              <w:t>-</w:t>
            </w:r>
            <w:r w:rsidR="00EA2221" w:rsidRPr="00BD3D4F">
              <w:rPr>
                <w:rFonts w:asciiTheme="majorBidi" w:hAnsiTheme="majorBidi" w:cstheme="majorBidi"/>
              </w:rPr>
              <w:t>.0</w:t>
            </w:r>
            <w:r>
              <w:rPr>
                <w:rFonts w:asciiTheme="majorBidi" w:hAnsiTheme="majorBidi" w:cstheme="majorBidi"/>
              </w:rPr>
              <w:t>1</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T1 Co-ownership</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615D22">
              <w:rPr>
                <w:rFonts w:asciiTheme="majorBidi" w:hAnsiTheme="majorBidi" w:cstheme="majorBidi"/>
              </w:rPr>
              <w:t>14</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0.18</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-0.2</w:t>
            </w:r>
            <w:r w:rsidR="00A01B67">
              <w:rPr>
                <w:rFonts w:asciiTheme="majorBidi" w:hAnsiTheme="majorBidi" w:cstheme="majorBidi"/>
              </w:rPr>
              <w:t>2</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A01B67">
              <w:rPr>
                <w:rFonts w:asciiTheme="majorBidi" w:hAnsiTheme="majorBidi" w:cstheme="majorBidi"/>
              </w:rPr>
              <w:t>50</w:t>
            </w:r>
          </w:p>
        </w:tc>
        <w:tc>
          <w:tcPr>
            <w:tcW w:w="696" w:type="dxa"/>
            <w:tcMar>
              <w:top w:w="15" w:type="dxa"/>
              <w:left w:w="60" w:type="dxa"/>
              <w:bottom w:w="15" w:type="dxa"/>
              <w:right w:w="60" w:type="dxa"/>
            </w:tcMar>
            <w:vAlign w:val="center"/>
            <w:hideMark/>
          </w:tcPr>
          <w:p w:rsidR="00EA2221" w:rsidRPr="00BD3D4F" w:rsidRDefault="00615D22" w:rsidP="00C35D05">
            <w:pPr>
              <w:jc w:val="right"/>
              <w:rPr>
                <w:rFonts w:asciiTheme="majorBidi" w:hAnsiTheme="majorBidi" w:cstheme="majorBidi"/>
              </w:rPr>
            </w:pPr>
            <w:r>
              <w:rPr>
                <w:rFonts w:asciiTheme="majorBidi" w:hAnsiTheme="majorBidi" w:cstheme="majorBidi"/>
              </w:rPr>
              <w:t>.448</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A01B67">
              <w:rPr>
                <w:rFonts w:asciiTheme="majorBidi" w:hAnsiTheme="majorBidi" w:cstheme="majorBidi"/>
              </w:rPr>
              <w:t>5</w:t>
            </w:r>
          </w:p>
        </w:tc>
      </w:tr>
      <w:tr w:rsidR="00EA2221" w:rsidRPr="00BD3D4F" w:rsidTr="00354244">
        <w:tc>
          <w:tcPr>
            <w:tcW w:w="8123" w:type="dxa"/>
            <w:gridSpan w:val="5"/>
          </w:tcPr>
          <w:p w:rsidR="00EA2221" w:rsidRPr="00BD3D4F" w:rsidRDefault="00EA2221" w:rsidP="00C35D05">
            <w:pPr>
              <w:rPr>
                <w:rFonts w:asciiTheme="majorBidi" w:hAnsiTheme="majorBidi" w:cstheme="majorBidi"/>
              </w:rPr>
            </w:pPr>
            <w:r w:rsidRPr="00BD3D4F">
              <w:rPr>
                <w:rFonts w:asciiTheme="majorBidi" w:hAnsiTheme="majorBidi" w:cstheme="majorBidi"/>
              </w:rPr>
              <w:t>Step 2: Mediation through affective commitment</w:t>
            </w:r>
          </w:p>
        </w:tc>
        <w:tc>
          <w:tcPr>
            <w:tcW w:w="696" w:type="dxa"/>
            <w:tcMar>
              <w:top w:w="15" w:type="dxa"/>
              <w:left w:w="60" w:type="dxa"/>
              <w:bottom w:w="15" w:type="dxa"/>
              <w:right w:w="60" w:type="dxa"/>
            </w:tcMar>
            <w:vAlign w:val="center"/>
            <w:hideMark/>
          </w:tcPr>
          <w:p w:rsidR="00EA2221" w:rsidRPr="00BD3D4F" w:rsidRDefault="00EA2221" w:rsidP="00C35D05">
            <w:pPr>
              <w:rPr>
                <w:rFonts w:asciiTheme="majorBidi" w:hAnsiTheme="majorBidi" w:cstheme="majorBidi"/>
              </w:rPr>
            </w:pPr>
          </w:p>
        </w:tc>
        <w:tc>
          <w:tcPr>
            <w:tcW w:w="541" w:type="dxa"/>
            <w:tcMar>
              <w:top w:w="15" w:type="dxa"/>
              <w:left w:w="60" w:type="dxa"/>
              <w:bottom w:w="15" w:type="dxa"/>
              <w:right w:w="60" w:type="dxa"/>
            </w:tcMar>
            <w:vAlign w:val="center"/>
            <w:hideMark/>
          </w:tcPr>
          <w:p w:rsidR="00EA2221" w:rsidRPr="00BD3D4F" w:rsidRDefault="00EA2221" w:rsidP="00C35D05">
            <w:pPr>
              <w:rPr>
                <w:rFonts w:asciiTheme="majorBidi" w:hAnsiTheme="majorBidi" w:cstheme="majorBidi"/>
              </w:rPr>
            </w:pP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23</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w:t>
            </w:r>
            <w:r w:rsidR="007859B0">
              <w:rPr>
                <w:rFonts w:asciiTheme="majorBidi" w:hAnsiTheme="majorBidi" w:cstheme="majorBidi"/>
              </w:rPr>
              <w:t>12</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w:t>
            </w:r>
            <w:r w:rsidR="007859B0">
              <w:rPr>
                <w:rFonts w:asciiTheme="majorBidi" w:hAnsiTheme="majorBidi" w:cstheme="majorBidi"/>
              </w:rPr>
              <w:t>1</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0.4</w:t>
            </w:r>
            <w:r w:rsidR="007859B0">
              <w:rPr>
                <w:rFonts w:asciiTheme="majorBidi" w:hAnsiTheme="majorBidi" w:cstheme="majorBidi"/>
              </w:rPr>
              <w:t>6</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w:t>
            </w:r>
            <w:r w:rsidR="007859B0">
              <w:rPr>
                <w:rFonts w:asciiTheme="majorBidi" w:hAnsiTheme="majorBidi" w:cstheme="majorBidi"/>
              </w:rPr>
              <w:t>057</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.1</w:t>
            </w:r>
            <w:r w:rsidR="007859B0">
              <w:rPr>
                <w:rFonts w:asciiTheme="majorBidi" w:hAnsiTheme="majorBidi" w:cstheme="majorBidi"/>
              </w:rPr>
              <w:t>3</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Affective </w:t>
            </w:r>
            <w:proofErr w:type="spellStart"/>
            <w:r w:rsidRPr="00BD3D4F">
              <w:rPr>
                <w:rFonts w:asciiTheme="majorBidi" w:hAnsiTheme="majorBidi" w:cstheme="majorBidi"/>
                <w:lang w:val="fr-FR"/>
              </w:rPr>
              <w:t>commitment</w:t>
            </w:r>
            <w:proofErr w:type="spellEnd"/>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-0.38</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0.11</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-0.60</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0.17</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&lt;.001</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-.29</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lang w:val="fr-FR"/>
              </w:rPr>
            </w:pPr>
            <w:r w:rsidRPr="00BD3D4F">
              <w:rPr>
                <w:rFonts w:asciiTheme="majorBidi" w:hAnsiTheme="majorBidi" w:cstheme="majorBidi"/>
                <w:lang w:val="fr-FR"/>
              </w:rPr>
              <w:t xml:space="preserve">T1 Affective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-0.52</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0.11</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58</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17</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&lt;.001</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w:t>
            </w:r>
            <w:r w:rsidR="007859B0">
              <w:rPr>
                <w:rFonts w:asciiTheme="majorBidi" w:hAnsiTheme="majorBidi" w:cstheme="majorBidi"/>
              </w:rPr>
              <w:t>26</w:t>
            </w:r>
          </w:p>
        </w:tc>
      </w:tr>
      <w:tr w:rsidR="00EA2221" w:rsidRPr="00BD3D4F" w:rsidTr="00354244">
        <w:tc>
          <w:tcPr>
            <w:tcW w:w="5289" w:type="dxa"/>
            <w:tcMar>
              <w:top w:w="15" w:type="dxa"/>
              <w:left w:w="60" w:type="dxa"/>
              <w:bottom w:w="15" w:type="dxa"/>
              <w:right w:w="60" w:type="dxa"/>
            </w:tcMar>
            <w:vAlign w:val="center"/>
            <w:hideMark/>
          </w:tcPr>
          <w:p w:rsidR="00EA2221" w:rsidRPr="00BD3D4F" w:rsidRDefault="00EA2221" w:rsidP="00C35D05">
            <w:pPr>
              <w:ind w:left="231" w:hanging="13"/>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Affective </w:t>
            </w:r>
            <w:proofErr w:type="spellStart"/>
            <w:r w:rsidRPr="00BD3D4F">
              <w:rPr>
                <w:rFonts w:asciiTheme="majorBidi" w:hAnsiTheme="majorBidi" w:cstheme="majorBidi"/>
                <w:lang w:val="fr-FR"/>
              </w:rPr>
              <w:t>commitment</w:t>
            </w:r>
            <w:proofErr w:type="spellEnd"/>
            <w:r w:rsidRPr="0070733C">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7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17</w:t>
            </w:r>
          </w:p>
        </w:tc>
        <w:tc>
          <w:tcPr>
            <w:tcW w:w="706" w:type="dxa"/>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0.0</w:t>
            </w:r>
            <w:r w:rsidR="007859B0">
              <w:rPr>
                <w:rFonts w:asciiTheme="majorBidi" w:hAnsiTheme="majorBidi" w:cstheme="majorBidi"/>
              </w:rPr>
              <w:t>6</w:t>
            </w:r>
          </w:p>
        </w:tc>
        <w:tc>
          <w:tcPr>
            <w:tcW w:w="704"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w:t>
            </w:r>
            <w:r w:rsidR="007859B0">
              <w:rPr>
                <w:rFonts w:asciiTheme="majorBidi" w:hAnsiTheme="majorBidi" w:cstheme="majorBidi"/>
              </w:rPr>
              <w:t>4</w:t>
            </w:r>
          </w:p>
        </w:tc>
        <w:tc>
          <w:tcPr>
            <w:tcW w:w="748"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29</w:t>
            </w:r>
          </w:p>
        </w:tc>
        <w:tc>
          <w:tcPr>
            <w:tcW w:w="696"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.00</w:t>
            </w:r>
            <w:r w:rsidR="007859B0">
              <w:rPr>
                <w:rFonts w:asciiTheme="majorBidi" w:hAnsiTheme="majorBidi" w:cstheme="majorBidi"/>
              </w:rPr>
              <w:t>9</w:t>
            </w:r>
          </w:p>
        </w:tc>
        <w:tc>
          <w:tcPr>
            <w:tcW w:w="541" w:type="dxa"/>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.1</w:t>
            </w:r>
            <w:r w:rsidR="007859B0">
              <w:rPr>
                <w:rFonts w:asciiTheme="majorBidi" w:hAnsiTheme="majorBidi" w:cstheme="majorBidi"/>
              </w:rPr>
              <w:t>0</w:t>
            </w:r>
          </w:p>
        </w:tc>
      </w:tr>
      <w:tr w:rsidR="00EA2221" w:rsidRPr="00BD3D4F" w:rsidTr="00354244">
        <w:tc>
          <w:tcPr>
            <w:tcW w:w="5289"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ind w:firstLine="218"/>
              <w:rPr>
                <w:rFonts w:asciiTheme="majorBidi" w:hAnsiTheme="majorBidi" w:cstheme="majorBidi"/>
              </w:rPr>
            </w:pPr>
            <w:r w:rsidRPr="00BD3D4F">
              <w:rPr>
                <w:rFonts w:asciiTheme="majorBidi" w:hAnsiTheme="majorBidi" w:cstheme="majorBidi"/>
              </w:rPr>
              <w:t>Total effect</w:t>
            </w:r>
          </w:p>
        </w:tc>
        <w:tc>
          <w:tcPr>
            <w:tcW w:w="676"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0.3</w:t>
            </w:r>
            <w:r w:rsidR="007859B0">
              <w:rPr>
                <w:rFonts w:asciiTheme="majorBidi" w:hAnsiTheme="majorBidi" w:cstheme="majorBidi"/>
              </w:rPr>
              <w:t>9</w:t>
            </w:r>
          </w:p>
        </w:tc>
        <w:tc>
          <w:tcPr>
            <w:tcW w:w="706" w:type="dxa"/>
            <w:tcBorders>
              <w:bottom w:val="single" w:sz="12" w:space="0" w:color="000000"/>
            </w:tcBorders>
            <w:vAlign w:val="center"/>
          </w:tcPr>
          <w:p w:rsidR="00EA2221" w:rsidRPr="00BD3D4F" w:rsidRDefault="00EA2221" w:rsidP="00C35D05">
            <w:pPr>
              <w:jc w:val="right"/>
              <w:rPr>
                <w:rFonts w:asciiTheme="majorBidi" w:hAnsiTheme="majorBidi" w:cstheme="majorBidi"/>
              </w:rPr>
            </w:pPr>
            <w:r>
              <w:rPr>
                <w:rFonts w:asciiTheme="majorBidi" w:hAnsiTheme="majorBidi" w:cstheme="majorBidi"/>
              </w:rPr>
              <w:t>0.1</w:t>
            </w:r>
            <w:r w:rsidR="007859B0">
              <w:rPr>
                <w:rFonts w:asciiTheme="majorBidi" w:hAnsiTheme="majorBidi" w:cstheme="majorBidi"/>
              </w:rPr>
              <w:t>2</w:t>
            </w:r>
          </w:p>
        </w:tc>
        <w:tc>
          <w:tcPr>
            <w:tcW w:w="704"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0.1</w:t>
            </w:r>
            <w:r w:rsidR="007859B0">
              <w:rPr>
                <w:rFonts w:asciiTheme="majorBidi" w:hAnsiTheme="majorBidi" w:cstheme="majorBidi"/>
              </w:rPr>
              <w:t>5</w:t>
            </w:r>
          </w:p>
        </w:tc>
        <w:tc>
          <w:tcPr>
            <w:tcW w:w="748"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0.6</w:t>
            </w:r>
            <w:r w:rsidR="007859B0">
              <w:rPr>
                <w:rFonts w:asciiTheme="majorBidi" w:hAnsiTheme="majorBidi" w:cstheme="majorBidi"/>
              </w:rPr>
              <w:t>3</w:t>
            </w:r>
          </w:p>
        </w:tc>
        <w:tc>
          <w:tcPr>
            <w:tcW w:w="696"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.0</w:t>
            </w:r>
            <w:r w:rsidR="007859B0">
              <w:rPr>
                <w:rFonts w:asciiTheme="majorBidi" w:hAnsiTheme="majorBidi" w:cstheme="majorBidi"/>
              </w:rPr>
              <w:t>02</w:t>
            </w:r>
          </w:p>
        </w:tc>
        <w:tc>
          <w:tcPr>
            <w:tcW w:w="541" w:type="dxa"/>
            <w:tcBorders>
              <w:bottom w:val="single" w:sz="12" w:space="0" w:color="000000"/>
            </w:tcBorders>
            <w:tcMar>
              <w:top w:w="15" w:type="dxa"/>
              <w:left w:w="60" w:type="dxa"/>
              <w:bottom w:w="15" w:type="dxa"/>
              <w:right w:w="60" w:type="dxa"/>
            </w:tcMar>
            <w:vAlign w:val="center"/>
            <w:hideMark/>
          </w:tcPr>
          <w:p w:rsidR="00EA2221" w:rsidRPr="00BD3D4F" w:rsidRDefault="00EA2221" w:rsidP="00C35D05">
            <w:pPr>
              <w:jc w:val="right"/>
              <w:rPr>
                <w:rFonts w:asciiTheme="majorBidi" w:hAnsiTheme="majorBidi" w:cstheme="majorBidi"/>
              </w:rPr>
            </w:pPr>
            <w:r w:rsidRPr="00BD3D4F">
              <w:rPr>
                <w:rFonts w:asciiTheme="majorBidi" w:hAnsiTheme="majorBidi" w:cstheme="majorBidi"/>
              </w:rPr>
              <w:t>.2</w:t>
            </w:r>
            <w:r w:rsidR="007859B0">
              <w:rPr>
                <w:rFonts w:asciiTheme="majorBidi" w:hAnsiTheme="majorBidi" w:cstheme="majorBidi"/>
              </w:rPr>
              <w:t>3</w:t>
            </w:r>
          </w:p>
        </w:tc>
      </w:tr>
    </w:tbl>
    <w:p w:rsidR="00EA2221" w:rsidRPr="00BD3D4F" w:rsidRDefault="00EA2221" w:rsidP="00EA2221">
      <w:pPr>
        <w:ind w:right="4"/>
        <w:rPr>
          <w:rFonts w:asciiTheme="majorBidi" w:hAnsiTheme="majorBidi" w:cstheme="majorBidi"/>
        </w:rPr>
      </w:pPr>
      <w:r w:rsidRPr="00BD3D4F">
        <w:rPr>
          <w:rFonts w:asciiTheme="majorBidi" w:hAnsiTheme="majorBidi" w:cstheme="majorBidi"/>
          <w:i/>
          <w:iCs/>
        </w:rPr>
        <w:t>Notes</w:t>
      </w:r>
      <w:r w:rsidRPr="00BD3D4F">
        <w:rPr>
          <w:rFonts w:asciiTheme="majorBidi" w:hAnsiTheme="majorBidi" w:cstheme="majorBidi"/>
        </w:rPr>
        <w:t xml:space="preserve">. </w:t>
      </w:r>
      <w:r w:rsidRPr="00BD3D4F">
        <w:rPr>
          <w:rFonts w:asciiTheme="majorBidi" w:hAnsiTheme="majorBidi" w:cstheme="majorBidi"/>
          <w:i/>
          <w:iCs/>
        </w:rPr>
        <w:t>N</w:t>
      </w:r>
      <w:r w:rsidRPr="00BD3D4F">
        <w:rPr>
          <w:rFonts w:asciiTheme="majorBidi" w:hAnsiTheme="majorBidi" w:cstheme="majorBidi"/>
        </w:rPr>
        <w:t xml:space="preserve"> = </w:t>
      </w:r>
      <w:r w:rsidR="003A7C5F">
        <w:rPr>
          <w:rFonts w:asciiTheme="majorBidi" w:hAnsiTheme="majorBidi" w:cstheme="majorBidi"/>
        </w:rPr>
        <w:t>363</w:t>
      </w:r>
      <w:r w:rsidRPr="00BD3D4F">
        <w:rPr>
          <w:rFonts w:asciiTheme="majorBidi" w:hAnsiTheme="majorBidi" w:cstheme="majorBidi"/>
        </w:rPr>
        <w:t xml:space="preserve">. </w:t>
      </w:r>
      <w:r w:rsidRPr="00BD3D4F">
        <w:rPr>
          <w:rFonts w:asciiTheme="majorBidi" w:hAnsiTheme="majorBidi" w:cstheme="majorBidi"/>
          <w:i/>
          <w:iCs/>
        </w:rPr>
        <w:t>B</w:t>
      </w:r>
      <w:r w:rsidRPr="00BD3D4F">
        <w:rPr>
          <w:rFonts w:asciiTheme="majorBidi" w:hAnsiTheme="majorBidi" w:cstheme="majorBidi"/>
        </w:rPr>
        <w:t xml:space="preserve"> = unstandardized estimate; 95% CI</w:t>
      </w:r>
      <w:r w:rsidRPr="00BD3D4F">
        <w:rPr>
          <w:rFonts w:asciiTheme="majorBidi" w:hAnsiTheme="majorBidi" w:cstheme="majorBidi"/>
          <w:i/>
          <w:iCs/>
          <w:vertAlign w:val="subscript"/>
        </w:rPr>
        <w:t>B</w:t>
      </w:r>
      <w:r w:rsidRPr="00BD3D4F">
        <w:rPr>
          <w:rFonts w:asciiTheme="majorBidi" w:hAnsiTheme="majorBidi" w:cstheme="majorBidi"/>
        </w:rPr>
        <w:t xml:space="preserve"> = 95% bootstrap confidence interval (5,000 samples); </w:t>
      </w:r>
      <w:r w:rsidRPr="00BD3D4F">
        <w:rPr>
          <w:rFonts w:asciiTheme="majorBidi" w:hAnsiTheme="majorBidi" w:cstheme="majorBidi"/>
          <w:i/>
          <w:iCs/>
          <w:shd w:val="clear" w:color="auto" w:fill="FFFFFF"/>
        </w:rPr>
        <w:t>β</w:t>
      </w:r>
      <w:r w:rsidRPr="00BD3D4F">
        <w:rPr>
          <w:rFonts w:asciiTheme="majorBidi" w:hAnsiTheme="majorBidi" w:cstheme="majorBidi"/>
        </w:rPr>
        <w:t xml:space="preserve"> = standardized estimate; DV = dependent variable. Code for gender: 1 = male, 2 = female; code for co-ownership: 1 = not co-owned, 2 = co-owned; business age = years passed since business foundation. </w:t>
      </w:r>
    </w:p>
    <w:p w:rsidR="00EA2221" w:rsidRDefault="00EA2221" w:rsidP="00EA2221">
      <w:pPr>
        <w:ind w:right="4"/>
        <w:rPr>
          <w:rFonts w:asciiTheme="majorBidi" w:hAnsiTheme="majorBidi" w:cstheme="majorBidi"/>
        </w:rPr>
      </w:pPr>
      <w:r w:rsidRPr="00BD3D4F">
        <w:rPr>
          <w:rFonts w:asciiTheme="majorBidi" w:hAnsiTheme="majorBidi" w:cstheme="majorBidi"/>
        </w:rPr>
        <w:t xml:space="preserve">Control variables were included in </w:t>
      </w:r>
      <w:r w:rsidR="00606272">
        <w:rPr>
          <w:rFonts w:asciiTheme="majorBidi" w:hAnsiTheme="majorBidi" w:cstheme="majorBidi"/>
        </w:rPr>
        <w:t>both</w:t>
      </w:r>
      <w:r w:rsidRPr="00BD3D4F">
        <w:rPr>
          <w:rFonts w:asciiTheme="majorBidi" w:hAnsiTheme="majorBidi" w:cstheme="majorBidi"/>
        </w:rPr>
        <w:t xml:space="preserve"> analyses. We report control variable estimates only for Step 1 because none of the control variables predicted T1 affective commitment or T2 quit intention</w:t>
      </w:r>
      <w:r w:rsidR="00615D22">
        <w:rPr>
          <w:rFonts w:asciiTheme="majorBidi" w:hAnsiTheme="majorBidi" w:cstheme="majorBidi"/>
        </w:rPr>
        <w:t xml:space="preserve"> in Step 2</w:t>
      </w:r>
      <w:r w:rsidRPr="00BD3D4F">
        <w:rPr>
          <w:rFonts w:asciiTheme="majorBidi" w:hAnsiTheme="majorBidi" w:cstheme="majorBidi"/>
        </w:rPr>
        <w:t>.</w:t>
      </w:r>
    </w:p>
    <w:p w:rsidR="00BF6DE9" w:rsidRDefault="00BF6DE9" w:rsidP="00EA2221">
      <w:pPr>
        <w:ind w:right="4"/>
        <w:rPr>
          <w:rFonts w:asciiTheme="majorBidi" w:hAnsiTheme="majorBidi" w:cstheme="majorBidi"/>
        </w:rPr>
      </w:pPr>
    </w:p>
    <w:p w:rsidR="00EC0434" w:rsidRDefault="00EC0434" w:rsidP="00C35D05">
      <w:pPr>
        <w:spacing w:line="480" w:lineRule="auto"/>
        <w:rPr>
          <w:rFonts w:asciiTheme="majorBidi" w:hAnsiTheme="majorBidi" w:cstheme="majorBidi"/>
          <w:b/>
          <w:bCs/>
        </w:rPr>
        <w:sectPr w:rsidR="00EC0434" w:rsidSect="00715F8C">
          <w:pgSz w:w="12240" w:h="15840"/>
          <w:pgMar w:top="1440" w:right="1440" w:bottom="1440" w:left="1440" w:header="708" w:footer="708" w:gutter="0"/>
          <w:cols w:space="708"/>
          <w:docGrid w:linePitch="360"/>
        </w:sectPr>
      </w:pPr>
    </w:p>
    <w:tbl>
      <w:tblPr>
        <w:tblW w:w="9238" w:type="dxa"/>
        <w:tblCellMar>
          <w:top w:w="15" w:type="dxa"/>
          <w:left w:w="15" w:type="dxa"/>
          <w:bottom w:w="15" w:type="dxa"/>
          <w:right w:w="15" w:type="dxa"/>
        </w:tblCellMar>
        <w:tblLook w:val="04A0" w:firstRow="1" w:lastRow="0" w:firstColumn="1" w:lastColumn="0" w:noHBand="0" w:noVBand="1"/>
      </w:tblPr>
      <w:tblGrid>
        <w:gridCol w:w="5272"/>
        <w:gridCol w:w="638"/>
        <w:gridCol w:w="726"/>
        <w:gridCol w:w="645"/>
        <w:gridCol w:w="781"/>
        <w:gridCol w:w="676"/>
        <w:gridCol w:w="500"/>
      </w:tblGrid>
      <w:tr w:rsidR="00EC0434" w:rsidRPr="00BD3D4F" w:rsidTr="00E41356">
        <w:tc>
          <w:tcPr>
            <w:tcW w:w="9238" w:type="dxa"/>
            <w:gridSpan w:val="7"/>
            <w:tcBorders>
              <w:top w:val="nil"/>
              <w:left w:val="nil"/>
              <w:bottom w:val="single" w:sz="6" w:space="0" w:color="000000"/>
              <w:right w:val="nil"/>
            </w:tcBorders>
          </w:tcPr>
          <w:p w:rsidR="00EC0434" w:rsidRPr="00BD3D4F" w:rsidRDefault="00EC0434" w:rsidP="00C35D05">
            <w:pPr>
              <w:spacing w:line="480" w:lineRule="auto"/>
              <w:rPr>
                <w:rFonts w:asciiTheme="majorBidi" w:hAnsiTheme="majorBidi" w:cstheme="majorBidi"/>
                <w:b/>
                <w:bCs/>
              </w:rPr>
            </w:pPr>
            <w:r w:rsidRPr="00BD3D4F">
              <w:rPr>
                <w:rFonts w:asciiTheme="majorBidi" w:hAnsiTheme="majorBidi" w:cstheme="majorBidi"/>
                <w:b/>
                <w:bCs/>
              </w:rPr>
              <w:lastRenderedPageBreak/>
              <w:t xml:space="preserve">Table </w:t>
            </w:r>
            <w:r>
              <w:rPr>
                <w:rFonts w:asciiTheme="majorBidi" w:hAnsiTheme="majorBidi" w:cstheme="majorBidi"/>
                <w:b/>
                <w:bCs/>
              </w:rPr>
              <w:t>A2</w:t>
            </w:r>
          </w:p>
          <w:p w:rsidR="00EC0434" w:rsidRPr="00BD3D4F" w:rsidRDefault="00EC0434" w:rsidP="00C35D05">
            <w:pPr>
              <w:spacing w:after="240"/>
              <w:rPr>
                <w:rFonts w:asciiTheme="majorBidi" w:hAnsiTheme="majorBidi" w:cstheme="majorBidi"/>
              </w:rPr>
            </w:pPr>
            <w:r w:rsidRPr="00BD3D4F">
              <w:rPr>
                <w:rFonts w:asciiTheme="majorBidi" w:hAnsiTheme="majorBidi" w:cstheme="majorBidi"/>
              </w:rPr>
              <w:t xml:space="preserve">Study 3: Parameter estimates of the relationship between T1 financial stress and T2 quit intention, mediated through T1 continuance commitment (Model 1) and T1 continuance and T1 affective commitment (Model 2) </w:t>
            </w:r>
            <w:r w:rsidR="00E015CE">
              <w:rPr>
                <w:rFonts w:asciiTheme="majorBidi" w:hAnsiTheme="majorBidi" w:cstheme="majorBidi"/>
              </w:rPr>
              <w:t>based on imputed data</w:t>
            </w:r>
          </w:p>
        </w:tc>
      </w:tr>
      <w:tr w:rsidR="00EC0434" w:rsidRPr="00BD3D4F" w:rsidTr="00E41356">
        <w:tc>
          <w:tcPr>
            <w:tcW w:w="5272" w:type="dxa"/>
            <w:tcBorders>
              <w:top w:val="single" w:sz="6" w:space="0" w:color="000000"/>
              <w:bottom w:val="single" w:sz="4" w:space="0" w:color="auto"/>
            </w:tcBorders>
            <w:tcMar>
              <w:top w:w="15" w:type="dxa"/>
              <w:left w:w="60" w:type="dxa"/>
              <w:bottom w:w="15" w:type="dxa"/>
              <w:right w:w="60" w:type="dxa"/>
            </w:tcMar>
            <w:vAlign w:val="center"/>
            <w:hideMark/>
          </w:tcPr>
          <w:p w:rsidR="00EC0434" w:rsidRPr="00BD3D4F" w:rsidRDefault="00EC0434" w:rsidP="00C35D05">
            <w:pPr>
              <w:rPr>
                <w:rFonts w:asciiTheme="majorBidi" w:hAnsiTheme="majorBidi" w:cstheme="majorBidi"/>
              </w:rPr>
            </w:pPr>
            <w:r w:rsidRPr="00BD3D4F">
              <w:rPr>
                <w:rFonts w:asciiTheme="majorBidi" w:hAnsiTheme="majorBidi" w:cstheme="majorBidi"/>
              </w:rPr>
              <w:t>Predictor</w:t>
            </w:r>
          </w:p>
        </w:tc>
        <w:tc>
          <w:tcPr>
            <w:tcW w:w="638" w:type="dxa"/>
            <w:tcBorders>
              <w:top w:val="single" w:sz="6" w:space="0" w:color="000000"/>
              <w:bottom w:val="single" w:sz="4" w:space="0" w:color="auto"/>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i/>
                <w:iCs/>
              </w:rPr>
              <w:t>B</w:t>
            </w:r>
          </w:p>
        </w:tc>
        <w:tc>
          <w:tcPr>
            <w:tcW w:w="726" w:type="dxa"/>
            <w:tcBorders>
              <w:top w:val="single" w:sz="6" w:space="0" w:color="000000"/>
              <w:bottom w:val="single" w:sz="4" w:space="0" w:color="auto"/>
            </w:tcBorders>
            <w:vAlign w:val="center"/>
          </w:tcPr>
          <w:p w:rsidR="00EC0434" w:rsidRPr="0070733C" w:rsidRDefault="00EC0434" w:rsidP="00C35D05">
            <w:pPr>
              <w:jc w:val="right"/>
              <w:rPr>
                <w:rFonts w:asciiTheme="majorBidi" w:hAnsiTheme="majorBidi" w:cstheme="majorBidi"/>
                <w:i/>
                <w:iCs/>
                <w:lang w:val="de-DE"/>
              </w:rPr>
            </w:pPr>
            <w:r w:rsidRPr="0070733C">
              <w:rPr>
                <w:rFonts w:asciiTheme="majorBidi" w:hAnsiTheme="majorBidi" w:cstheme="majorBidi"/>
                <w:i/>
                <w:iCs/>
                <w:lang w:val="de-DE"/>
              </w:rPr>
              <w:t>SE</w:t>
            </w:r>
          </w:p>
        </w:tc>
        <w:tc>
          <w:tcPr>
            <w:tcW w:w="1426" w:type="dxa"/>
            <w:gridSpan w:val="2"/>
            <w:tcBorders>
              <w:top w:val="single" w:sz="6" w:space="0" w:color="000000"/>
              <w:bottom w:val="single" w:sz="4" w:space="0" w:color="auto"/>
            </w:tcBorders>
            <w:tcMar>
              <w:top w:w="15" w:type="dxa"/>
              <w:left w:w="60" w:type="dxa"/>
              <w:bottom w:w="15" w:type="dxa"/>
              <w:right w:w="60" w:type="dxa"/>
            </w:tcMar>
            <w:vAlign w:val="center"/>
            <w:hideMark/>
          </w:tcPr>
          <w:p w:rsidR="00EC0434" w:rsidRPr="00BD3D4F" w:rsidRDefault="00EC0434" w:rsidP="00C35D05">
            <w:pPr>
              <w:jc w:val="center"/>
              <w:rPr>
                <w:rFonts w:asciiTheme="majorBidi" w:hAnsiTheme="majorBidi" w:cstheme="majorBidi"/>
              </w:rPr>
            </w:pPr>
            <w:r w:rsidRPr="00BD3D4F">
              <w:rPr>
                <w:rFonts w:asciiTheme="majorBidi" w:hAnsiTheme="majorBidi" w:cstheme="majorBidi"/>
              </w:rPr>
              <w:t>95% CI</w:t>
            </w:r>
            <w:r w:rsidRPr="00BD3D4F">
              <w:rPr>
                <w:rFonts w:asciiTheme="majorBidi" w:hAnsiTheme="majorBidi" w:cstheme="majorBidi"/>
                <w:i/>
                <w:iCs/>
                <w:vertAlign w:val="subscript"/>
              </w:rPr>
              <w:t>B</w:t>
            </w:r>
          </w:p>
        </w:tc>
        <w:tc>
          <w:tcPr>
            <w:tcW w:w="676" w:type="dxa"/>
            <w:tcBorders>
              <w:top w:val="single" w:sz="6" w:space="0" w:color="000000"/>
              <w:bottom w:val="single" w:sz="4" w:space="0" w:color="auto"/>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i/>
                <w:iCs/>
              </w:rPr>
              <w:t>p</w:t>
            </w:r>
          </w:p>
        </w:tc>
        <w:tc>
          <w:tcPr>
            <w:tcW w:w="500" w:type="dxa"/>
            <w:tcBorders>
              <w:top w:val="single" w:sz="6" w:space="0" w:color="000000"/>
              <w:bottom w:val="single" w:sz="4" w:space="0" w:color="auto"/>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i/>
                <w:iCs/>
                <w:shd w:val="clear" w:color="auto" w:fill="FFFFFF"/>
              </w:rPr>
              <w:t>β</w:t>
            </w:r>
          </w:p>
        </w:tc>
      </w:tr>
      <w:tr w:rsidR="00EC0434" w:rsidRPr="00BD3D4F" w:rsidTr="00E41356">
        <w:tc>
          <w:tcPr>
            <w:tcW w:w="9238" w:type="dxa"/>
            <w:gridSpan w:val="7"/>
            <w:tcBorders>
              <w:top w:val="single" w:sz="4" w:space="0" w:color="auto"/>
            </w:tcBorders>
          </w:tcPr>
          <w:p w:rsidR="00EC0434" w:rsidRPr="00BD3D4F" w:rsidRDefault="00EC0434" w:rsidP="00C35D05">
            <w:pPr>
              <w:rPr>
                <w:rFonts w:asciiTheme="majorBidi" w:hAnsiTheme="majorBidi" w:cstheme="majorBidi"/>
              </w:rPr>
            </w:pPr>
            <w:r w:rsidRPr="00BD3D4F">
              <w:rPr>
                <w:rFonts w:asciiTheme="majorBidi" w:hAnsiTheme="majorBidi" w:cstheme="majorBidi"/>
              </w:rPr>
              <w:t>Model 1: Mediation through continuance commitment</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0.4</w:t>
            </w:r>
            <w:r w:rsidR="00C3251F">
              <w:rPr>
                <w:rFonts w:asciiTheme="majorBidi" w:hAnsiTheme="majorBidi" w:cstheme="majorBidi"/>
              </w:rPr>
              <w:t>7</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C3251F">
              <w:rPr>
                <w:rFonts w:asciiTheme="majorBidi" w:hAnsiTheme="majorBidi" w:cstheme="majorBidi"/>
              </w:rPr>
              <w:t>2</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23</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0.7</w:t>
            </w:r>
            <w:r w:rsidR="00C3251F">
              <w:rPr>
                <w:rFonts w:asciiTheme="majorBidi" w:hAnsiTheme="majorBidi" w:cstheme="majorBidi"/>
              </w:rPr>
              <w:t>1</w:t>
            </w:r>
          </w:p>
        </w:tc>
        <w:tc>
          <w:tcPr>
            <w:tcW w:w="676" w:type="dxa"/>
            <w:tcMar>
              <w:top w:w="15" w:type="dxa"/>
              <w:left w:w="60" w:type="dxa"/>
              <w:bottom w:w="15" w:type="dxa"/>
              <w:right w:w="60" w:type="dxa"/>
            </w:tcMar>
            <w:vAlign w:val="center"/>
            <w:hideMark/>
          </w:tcPr>
          <w:p w:rsidR="00EC0434" w:rsidRPr="00BD3D4F" w:rsidRDefault="00C3251F" w:rsidP="00C35D05">
            <w:pPr>
              <w:jc w:val="right"/>
              <w:rPr>
                <w:rFonts w:asciiTheme="majorBidi" w:hAnsiTheme="majorBidi" w:cstheme="majorBidi"/>
              </w:rPr>
            </w:pPr>
            <w:r>
              <w:rPr>
                <w:rFonts w:asciiTheme="majorBidi" w:hAnsiTheme="majorBidi" w:cstheme="majorBidi"/>
              </w:rPr>
              <w:t>&lt;</w:t>
            </w:r>
            <w:r w:rsidR="00EC0434" w:rsidRPr="00BD3D4F">
              <w:rPr>
                <w:rFonts w:asciiTheme="majorBidi" w:hAnsiTheme="majorBidi" w:cstheme="majorBidi"/>
              </w:rPr>
              <w:t>.00</w:t>
            </w:r>
            <w:r>
              <w:rPr>
                <w:rFonts w:asciiTheme="majorBidi" w:hAnsiTheme="majorBidi" w:cstheme="majorBidi"/>
              </w:rPr>
              <w:t>1</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.2</w:t>
            </w:r>
            <w:r w:rsidR="00C3251F">
              <w:rPr>
                <w:rFonts w:asciiTheme="majorBidi" w:hAnsiTheme="majorBidi" w:cstheme="majorBidi"/>
              </w:rPr>
              <w:t>8</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0.2</w:t>
            </w:r>
            <w:r w:rsidR="00C3251F">
              <w:rPr>
                <w:rFonts w:asciiTheme="majorBidi" w:hAnsiTheme="majorBidi" w:cstheme="majorBidi"/>
              </w:rPr>
              <w:t>6</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C3251F">
              <w:rPr>
                <w:rFonts w:asciiTheme="majorBidi" w:hAnsiTheme="majorBidi" w:cstheme="majorBidi"/>
              </w:rPr>
              <w:t>0</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C3251F">
              <w:rPr>
                <w:rFonts w:asciiTheme="majorBidi" w:hAnsiTheme="majorBidi" w:cstheme="majorBidi"/>
              </w:rPr>
              <w:t>6</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0.4</w:t>
            </w:r>
            <w:r w:rsidR="00C3251F">
              <w:rPr>
                <w:rFonts w:asciiTheme="majorBidi" w:hAnsiTheme="majorBidi" w:cstheme="majorBidi"/>
              </w:rPr>
              <w:t>5</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10</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.1</w:t>
            </w:r>
            <w:r w:rsidR="00C3251F">
              <w:rPr>
                <w:rFonts w:asciiTheme="majorBidi" w:hAnsiTheme="majorBidi" w:cstheme="majorBidi"/>
              </w:rPr>
              <w:t>9</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right="-1164" w:firstLine="218"/>
              <w:rPr>
                <w:rFonts w:asciiTheme="majorBidi" w:hAnsiTheme="majorBidi" w:cstheme="majorBidi"/>
                <w:lang w:val="fr-FR"/>
              </w:rPr>
            </w:pPr>
            <w:r w:rsidRPr="00BD3D4F">
              <w:rPr>
                <w:rFonts w:asciiTheme="majorBidi" w:hAnsiTheme="majorBidi" w:cstheme="majorBidi"/>
                <w:lang w:val="fr-FR"/>
              </w:rPr>
              <w:t xml:space="preserve">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-0.2</w:t>
            </w:r>
            <w:r w:rsidR="00C3251F">
              <w:rPr>
                <w:rFonts w:asciiTheme="majorBidi" w:hAnsiTheme="majorBidi" w:cstheme="majorBidi"/>
              </w:rPr>
              <w:t>4</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0.0</w:t>
            </w:r>
            <w:r w:rsidR="00C3251F">
              <w:rPr>
                <w:rFonts w:asciiTheme="majorBidi" w:hAnsiTheme="majorBidi" w:cstheme="majorBidi"/>
              </w:rPr>
              <w:t>9</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-0.4</w:t>
            </w:r>
            <w:r w:rsidR="00C3251F">
              <w:rPr>
                <w:rFonts w:asciiTheme="majorBidi" w:hAnsiTheme="majorBidi" w:cstheme="majorBidi"/>
              </w:rPr>
              <w:t>2</w:t>
            </w:r>
          </w:p>
        </w:tc>
        <w:tc>
          <w:tcPr>
            <w:tcW w:w="781" w:type="dxa"/>
            <w:tcMar>
              <w:top w:w="15" w:type="dxa"/>
              <w:left w:w="60" w:type="dxa"/>
              <w:bottom w:w="15" w:type="dxa"/>
              <w:right w:w="60" w:type="dxa"/>
            </w:tcMar>
            <w:vAlign w:val="center"/>
            <w:hideMark/>
          </w:tcPr>
          <w:p w:rsidR="00EC0434" w:rsidRPr="00BD3D4F" w:rsidRDefault="00C3251F" w:rsidP="00C35D05">
            <w:pPr>
              <w:jc w:val="right"/>
              <w:rPr>
                <w:rFonts w:asciiTheme="majorBidi" w:hAnsiTheme="majorBidi" w:cstheme="majorBidi"/>
              </w:rPr>
            </w:pPr>
            <w:r>
              <w:rPr>
                <w:rFonts w:asciiTheme="majorBidi" w:hAnsiTheme="majorBidi" w:cstheme="majorBidi"/>
              </w:rPr>
              <w:t>-</w:t>
            </w:r>
            <w:r w:rsidR="00EC0434" w:rsidRPr="00BD3D4F">
              <w:rPr>
                <w:rFonts w:asciiTheme="majorBidi" w:hAnsiTheme="majorBidi" w:cstheme="majorBidi"/>
              </w:rPr>
              <w:t>0.0</w:t>
            </w:r>
            <w:r>
              <w:rPr>
                <w:rFonts w:asciiTheme="majorBidi" w:hAnsiTheme="majorBidi" w:cstheme="majorBidi"/>
              </w:rPr>
              <w:t>6</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12</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-.1</w:t>
            </w:r>
            <w:r w:rsidR="00C3251F">
              <w:rPr>
                <w:rFonts w:asciiTheme="majorBidi" w:hAnsiTheme="majorBidi" w:cstheme="majorBidi"/>
              </w:rPr>
              <w:t>9</w:t>
            </w:r>
          </w:p>
        </w:tc>
      </w:tr>
      <w:tr w:rsidR="00EC0434" w:rsidRPr="00BD3D4F" w:rsidTr="00E41356">
        <w:tc>
          <w:tcPr>
            <w:tcW w:w="5272" w:type="dxa"/>
            <w:tcMar>
              <w:top w:w="15" w:type="dxa"/>
              <w:left w:w="60" w:type="dxa"/>
              <w:bottom w:w="15" w:type="dxa"/>
              <w:right w:w="60" w:type="dxa"/>
            </w:tcMar>
            <w:vAlign w:val="center"/>
            <w:hideMark/>
          </w:tcPr>
          <w:p w:rsidR="00EC0434" w:rsidRPr="0070733C" w:rsidRDefault="00EC0434" w:rsidP="00C35D05">
            <w:pPr>
              <w:ind w:left="231" w:hanging="13"/>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w:t>
            </w:r>
            <w:r w:rsidRPr="0070733C">
              <w:rPr>
                <w:rFonts w:asciiTheme="majorBidi" w:hAnsiTheme="majorBidi" w:cstheme="majorBidi"/>
                <w:lang w:val="fr-FR"/>
              </w:rPr>
              <w:t xml:space="preserve">T2 </w:t>
            </w:r>
            <w:proofErr w:type="spellStart"/>
            <w:r w:rsidRPr="00BD3D4F">
              <w:rPr>
                <w:rFonts w:asciiTheme="majorBidi" w:hAnsiTheme="majorBidi" w:cstheme="majorBidi"/>
                <w:lang w:val="fr-FR"/>
              </w:rPr>
              <w:t>Q</w:t>
            </w:r>
            <w:r w:rsidRPr="0070733C">
              <w:rPr>
                <w:rFonts w:asciiTheme="majorBidi" w:hAnsiTheme="majorBidi" w:cstheme="majorBidi"/>
                <w:lang w:val="fr-FR"/>
              </w:rPr>
              <w:t>uit</w:t>
            </w:r>
            <w:proofErr w:type="spellEnd"/>
            <w:r w:rsidRPr="0070733C">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C3251F">
              <w:rPr>
                <w:rFonts w:asciiTheme="majorBidi" w:hAnsiTheme="majorBidi" w:cstheme="majorBidi"/>
              </w:rPr>
              <w:t>6</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0.04</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-0.13</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0.01</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w:t>
            </w:r>
            <w:r w:rsidR="00C3251F">
              <w:rPr>
                <w:rFonts w:asciiTheme="majorBidi" w:hAnsiTheme="majorBidi" w:cstheme="majorBidi"/>
              </w:rPr>
              <w:t>095</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4</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rPr>
            </w:pPr>
            <w:r w:rsidRPr="00BD3D4F">
              <w:rPr>
                <w:rFonts w:asciiTheme="majorBidi" w:hAnsiTheme="majorBidi" w:cstheme="majorBidi"/>
              </w:rPr>
              <w:t>Total effect</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41</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C3251F">
              <w:rPr>
                <w:rFonts w:asciiTheme="majorBidi" w:hAnsiTheme="majorBidi" w:cstheme="majorBidi"/>
              </w:rPr>
              <w:t>2</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w:t>
            </w:r>
            <w:r w:rsidR="00C3251F">
              <w:rPr>
                <w:rFonts w:asciiTheme="majorBidi" w:hAnsiTheme="majorBidi" w:cstheme="majorBidi"/>
              </w:rPr>
              <w:t>7</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0.6</w:t>
            </w:r>
            <w:r w:rsidR="00C3251F">
              <w:rPr>
                <w:rFonts w:asciiTheme="majorBidi" w:hAnsiTheme="majorBidi" w:cstheme="majorBidi"/>
              </w:rPr>
              <w:t>4</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C3251F">
              <w:rPr>
                <w:rFonts w:asciiTheme="majorBidi" w:hAnsiTheme="majorBidi" w:cstheme="majorBidi"/>
              </w:rPr>
              <w:t>01</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.2</w:t>
            </w:r>
            <w:r w:rsidR="00C3251F">
              <w:rPr>
                <w:rFonts w:asciiTheme="majorBidi" w:hAnsiTheme="majorBidi" w:cstheme="majorBidi"/>
              </w:rPr>
              <w:t>4</w:t>
            </w:r>
          </w:p>
        </w:tc>
      </w:tr>
      <w:tr w:rsidR="00EC0434" w:rsidRPr="00BD3D4F" w:rsidTr="00E41356">
        <w:tc>
          <w:tcPr>
            <w:tcW w:w="9238" w:type="dxa"/>
            <w:gridSpan w:val="7"/>
          </w:tcPr>
          <w:p w:rsidR="00EC0434" w:rsidRPr="00BD3D4F" w:rsidRDefault="00EC0434" w:rsidP="00C35D05">
            <w:pPr>
              <w:rPr>
                <w:rFonts w:asciiTheme="majorBidi" w:hAnsiTheme="majorBidi" w:cstheme="majorBidi"/>
              </w:rPr>
            </w:pPr>
            <w:r w:rsidRPr="00BD3D4F">
              <w:rPr>
                <w:rFonts w:asciiTheme="majorBidi" w:hAnsiTheme="majorBidi" w:cstheme="majorBidi"/>
              </w:rPr>
              <w:t>Model 2: Mediation through continuance and affective commitment</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0.2</w:t>
            </w:r>
            <w:r w:rsidR="00E26D5F">
              <w:rPr>
                <w:rFonts w:asciiTheme="majorBidi" w:hAnsiTheme="majorBidi" w:cstheme="majorBidi"/>
              </w:rPr>
              <w:t>9</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E26D5F">
              <w:rPr>
                <w:rFonts w:asciiTheme="majorBidi" w:hAnsiTheme="majorBidi" w:cstheme="majorBidi"/>
              </w:rPr>
              <w:t>2</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E26D5F">
              <w:rPr>
                <w:rFonts w:asciiTheme="majorBidi" w:hAnsiTheme="majorBidi" w:cstheme="majorBidi"/>
              </w:rPr>
              <w:t>6</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0.5</w:t>
            </w:r>
            <w:r w:rsidR="00E26D5F">
              <w:rPr>
                <w:rFonts w:asciiTheme="majorBidi" w:hAnsiTheme="majorBidi" w:cstheme="majorBidi"/>
              </w:rPr>
              <w:t>2</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w:t>
            </w:r>
            <w:r w:rsidR="00E26D5F">
              <w:rPr>
                <w:rFonts w:asciiTheme="majorBidi" w:hAnsiTheme="majorBidi" w:cstheme="majorBidi"/>
              </w:rPr>
              <w:t>014</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w:t>
            </w:r>
            <w:r w:rsidR="007E2E4A">
              <w:rPr>
                <w:rFonts w:asciiTheme="majorBidi" w:hAnsiTheme="majorBidi" w:cstheme="majorBidi"/>
              </w:rPr>
              <w:t>17</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Affective </w:t>
            </w:r>
            <w:proofErr w:type="spellStart"/>
            <w:r w:rsidRPr="00BD3D4F">
              <w:rPr>
                <w:rFonts w:asciiTheme="majorBidi" w:hAnsiTheme="majorBidi" w:cstheme="majorBidi"/>
                <w:lang w:val="fr-FR"/>
              </w:rPr>
              <w:t>commitment</w:t>
            </w:r>
            <w:proofErr w:type="spellEnd"/>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-0.38</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064C01">
              <w:rPr>
                <w:rFonts w:asciiTheme="majorBidi" w:hAnsiTheme="majorBidi" w:cstheme="majorBidi"/>
              </w:rPr>
              <w:t>0</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58</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w:t>
            </w:r>
            <w:r>
              <w:rPr>
                <w:rFonts w:asciiTheme="majorBidi" w:hAnsiTheme="majorBidi" w:cstheme="majorBidi"/>
              </w:rPr>
              <w:t>8</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&lt;.001</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-.2</w:t>
            </w:r>
            <w:r w:rsidR="00064C01">
              <w:rPr>
                <w:rFonts w:asciiTheme="majorBidi" w:hAnsiTheme="majorBidi" w:cstheme="majorBidi"/>
              </w:rPr>
              <w:t>6</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 xml:space="preserve">T1 Affective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Pr>
                <w:rFonts w:asciiTheme="majorBidi" w:hAnsiTheme="majorBidi" w:cstheme="majorBidi"/>
                <w:lang w:val="fr-FR"/>
              </w:rPr>
              <w:t>Q</w:t>
            </w:r>
            <w:r w:rsidRPr="00BD3D4F">
              <w:rPr>
                <w:rFonts w:asciiTheme="majorBidi" w:hAnsiTheme="majorBidi" w:cstheme="majorBidi"/>
                <w:lang w:val="fr-FR"/>
              </w:rPr>
              <w:t>uit</w:t>
            </w:r>
            <w:proofErr w:type="spellEnd"/>
            <w:r w:rsidRPr="00BD3D4F">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42</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w:t>
            </w:r>
            <w:r w:rsidR="00064C01">
              <w:rPr>
                <w:rFonts w:asciiTheme="majorBidi" w:hAnsiTheme="majorBidi" w:cstheme="majorBidi"/>
              </w:rPr>
              <w:t>09</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61</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24</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&lt;.001</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w:t>
            </w:r>
            <w:r w:rsidR="00064C01">
              <w:rPr>
                <w:rFonts w:asciiTheme="majorBidi" w:hAnsiTheme="majorBidi" w:cstheme="majorBidi"/>
              </w:rPr>
              <w:t>36</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0.2</w:t>
            </w:r>
            <w:r w:rsidR="00064C01">
              <w:rPr>
                <w:rFonts w:asciiTheme="majorBidi" w:hAnsiTheme="majorBidi" w:cstheme="majorBidi"/>
              </w:rPr>
              <w:t>6</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w:t>
            </w:r>
            <w:r w:rsidR="00064C01">
              <w:rPr>
                <w:rFonts w:asciiTheme="majorBidi" w:hAnsiTheme="majorBidi" w:cstheme="majorBidi"/>
              </w:rPr>
              <w:t>10</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064C01">
              <w:rPr>
                <w:rFonts w:asciiTheme="majorBidi" w:hAnsiTheme="majorBidi" w:cstheme="majorBidi"/>
              </w:rPr>
              <w:t>6</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0.4</w:t>
            </w:r>
            <w:r w:rsidR="00064C01">
              <w:rPr>
                <w:rFonts w:asciiTheme="majorBidi" w:hAnsiTheme="majorBidi" w:cstheme="majorBidi"/>
              </w:rPr>
              <w:t>5</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09</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.1</w:t>
            </w:r>
            <w:r w:rsidR="00064C01">
              <w:rPr>
                <w:rFonts w:asciiTheme="majorBidi" w:hAnsiTheme="majorBidi" w:cstheme="majorBidi"/>
              </w:rPr>
              <w:t>9</w:t>
            </w:r>
          </w:p>
        </w:tc>
      </w:tr>
      <w:tr w:rsidR="00EC0434" w:rsidRPr="00BD3D4F" w:rsidTr="00E41356">
        <w:tc>
          <w:tcPr>
            <w:tcW w:w="5272" w:type="dxa"/>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lang w:val="fr-FR"/>
              </w:rPr>
            </w:pPr>
            <w:r w:rsidRPr="00BD3D4F">
              <w:rPr>
                <w:rFonts w:asciiTheme="majorBidi" w:hAnsiTheme="majorBidi" w:cstheme="majorBidi"/>
                <w:lang w:val="fr-FR"/>
              </w:rPr>
              <w:t xml:space="preserve">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T2 </w:t>
            </w:r>
            <w:proofErr w:type="spellStart"/>
            <w:r w:rsidRPr="00BD3D4F">
              <w:rPr>
                <w:rFonts w:asciiTheme="majorBidi" w:hAnsiTheme="majorBidi" w:cstheme="majorBidi"/>
                <w:lang w:val="fr-FR"/>
              </w:rPr>
              <w:t>Quit</w:t>
            </w:r>
            <w:proofErr w:type="spellEnd"/>
            <w:r w:rsidRPr="00BD3D4F">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20</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0.09</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-0.3</w:t>
            </w:r>
            <w:r w:rsidR="00064C01">
              <w:rPr>
                <w:rFonts w:asciiTheme="majorBidi" w:hAnsiTheme="majorBidi" w:cstheme="majorBidi"/>
              </w:rPr>
              <w:t>7</w:t>
            </w:r>
          </w:p>
        </w:tc>
        <w:tc>
          <w:tcPr>
            <w:tcW w:w="781" w:type="dxa"/>
            <w:tcMar>
              <w:top w:w="15" w:type="dxa"/>
              <w:left w:w="60" w:type="dxa"/>
              <w:bottom w:w="15" w:type="dxa"/>
              <w:right w:w="60" w:type="dxa"/>
            </w:tcMar>
            <w:vAlign w:val="center"/>
            <w:hideMark/>
          </w:tcPr>
          <w:p w:rsidR="00EC0434" w:rsidRPr="00BD3D4F" w:rsidRDefault="00064C01" w:rsidP="00C35D05">
            <w:pPr>
              <w:jc w:val="right"/>
              <w:rPr>
                <w:rFonts w:asciiTheme="majorBidi" w:hAnsiTheme="majorBidi" w:cstheme="majorBidi"/>
              </w:rPr>
            </w:pPr>
            <w:r>
              <w:rPr>
                <w:rFonts w:asciiTheme="majorBidi" w:hAnsiTheme="majorBidi" w:cstheme="majorBidi"/>
              </w:rPr>
              <w:t>-</w:t>
            </w:r>
            <w:r w:rsidR="00EC0434" w:rsidRPr="00BD3D4F">
              <w:rPr>
                <w:rFonts w:asciiTheme="majorBidi" w:hAnsiTheme="majorBidi" w:cstheme="majorBidi"/>
              </w:rPr>
              <w:t>0.0</w:t>
            </w:r>
            <w:r>
              <w:rPr>
                <w:rFonts w:asciiTheme="majorBidi" w:hAnsiTheme="majorBidi" w:cstheme="majorBidi"/>
              </w:rPr>
              <w:t>3</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24</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-.16</w:t>
            </w:r>
          </w:p>
        </w:tc>
      </w:tr>
      <w:tr w:rsidR="00EC0434" w:rsidRPr="00BD3D4F" w:rsidTr="00E41356">
        <w:tc>
          <w:tcPr>
            <w:tcW w:w="5272" w:type="dxa"/>
            <w:tcMar>
              <w:top w:w="15" w:type="dxa"/>
              <w:left w:w="60" w:type="dxa"/>
              <w:bottom w:w="15" w:type="dxa"/>
              <w:right w:w="60" w:type="dxa"/>
            </w:tcMar>
            <w:vAlign w:val="center"/>
            <w:hideMark/>
          </w:tcPr>
          <w:p w:rsidR="00EC0434" w:rsidRPr="0070733C" w:rsidRDefault="00EC0434" w:rsidP="00C35D05">
            <w:pPr>
              <w:ind w:left="231" w:hanging="13"/>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Affective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w:t>
            </w:r>
            <w:r w:rsidRPr="0070733C">
              <w:rPr>
                <w:rFonts w:asciiTheme="majorBidi" w:hAnsiTheme="majorBidi" w:cstheme="majorBidi"/>
                <w:lang w:val="fr-FR"/>
              </w:rPr>
              <w:t xml:space="preserve">T2 </w:t>
            </w:r>
            <w:proofErr w:type="spellStart"/>
            <w:r w:rsidRPr="00BD3D4F">
              <w:rPr>
                <w:rFonts w:asciiTheme="majorBidi" w:hAnsiTheme="majorBidi" w:cstheme="majorBidi"/>
                <w:lang w:val="fr-FR"/>
              </w:rPr>
              <w:t>Q</w:t>
            </w:r>
            <w:r w:rsidRPr="0070733C">
              <w:rPr>
                <w:rFonts w:asciiTheme="majorBidi" w:hAnsiTheme="majorBidi" w:cstheme="majorBidi"/>
                <w:lang w:val="fr-FR"/>
              </w:rPr>
              <w:t>uit</w:t>
            </w:r>
            <w:proofErr w:type="spellEnd"/>
            <w:r w:rsidRPr="0070733C">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w:t>
            </w:r>
            <w:r w:rsidR="00064C01">
              <w:rPr>
                <w:rFonts w:asciiTheme="majorBidi" w:hAnsiTheme="majorBidi" w:cstheme="majorBidi"/>
              </w:rPr>
              <w:t>6</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0.0</w:t>
            </w:r>
            <w:r w:rsidR="00064C01">
              <w:rPr>
                <w:rFonts w:asciiTheme="majorBidi" w:hAnsiTheme="majorBidi" w:cstheme="majorBidi"/>
              </w:rPr>
              <w:t>6</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064C01">
              <w:rPr>
                <w:rFonts w:asciiTheme="majorBidi" w:hAnsiTheme="majorBidi" w:cstheme="majorBidi"/>
              </w:rPr>
              <w:t>5</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27</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Pr>
                <w:rFonts w:asciiTheme="majorBidi" w:hAnsiTheme="majorBidi" w:cstheme="majorBidi"/>
              </w:rPr>
              <w:t>7</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w:t>
            </w:r>
            <w:r w:rsidR="00064C01">
              <w:rPr>
                <w:rFonts w:asciiTheme="majorBidi" w:hAnsiTheme="majorBidi" w:cstheme="majorBidi"/>
              </w:rPr>
              <w:t>09</w:t>
            </w:r>
          </w:p>
        </w:tc>
      </w:tr>
      <w:tr w:rsidR="00EC0434" w:rsidRPr="00BD3D4F" w:rsidTr="00E41356">
        <w:tc>
          <w:tcPr>
            <w:tcW w:w="5272" w:type="dxa"/>
            <w:tcMar>
              <w:top w:w="15" w:type="dxa"/>
              <w:left w:w="60" w:type="dxa"/>
              <w:bottom w:w="15" w:type="dxa"/>
              <w:right w:w="60" w:type="dxa"/>
            </w:tcMar>
            <w:vAlign w:val="center"/>
            <w:hideMark/>
          </w:tcPr>
          <w:p w:rsidR="00EC0434" w:rsidRPr="0070733C" w:rsidRDefault="00EC0434" w:rsidP="00C35D05">
            <w:pPr>
              <w:ind w:left="231" w:hanging="13"/>
              <w:rPr>
                <w:rFonts w:asciiTheme="majorBidi" w:hAnsiTheme="majorBidi" w:cstheme="majorBidi"/>
                <w:lang w:val="fr-FR"/>
              </w:rPr>
            </w:pPr>
            <w:r w:rsidRPr="00BD3D4F">
              <w:rPr>
                <w:rFonts w:asciiTheme="majorBidi" w:hAnsiTheme="majorBidi" w:cstheme="majorBidi"/>
                <w:lang w:val="fr-FR"/>
              </w:rPr>
              <w:t>T1 F</w:t>
            </w:r>
            <w:r w:rsidRPr="0070733C">
              <w:rPr>
                <w:rFonts w:asciiTheme="majorBidi" w:hAnsiTheme="majorBidi" w:cstheme="majorBidi"/>
                <w:lang w:val="fr-FR"/>
              </w:rPr>
              <w:t>in</w:t>
            </w:r>
            <w:r w:rsidRPr="00BD3D4F">
              <w:rPr>
                <w:rFonts w:asciiTheme="majorBidi" w:hAnsiTheme="majorBidi" w:cstheme="majorBidi"/>
                <w:lang w:val="fr-FR"/>
              </w:rPr>
              <w:t>ancial</w:t>
            </w:r>
            <w:r w:rsidRPr="0070733C">
              <w:rPr>
                <w:rFonts w:asciiTheme="majorBidi" w:hAnsiTheme="majorBidi" w:cstheme="majorBidi"/>
                <w:lang w:val="fr-FR"/>
              </w:rPr>
              <w:t xml:space="preserve"> stress </w:t>
            </w:r>
            <w:r w:rsidRPr="00BD3D4F">
              <w:rPr>
                <w:rFonts w:asciiTheme="majorBidi" w:hAnsiTheme="majorBidi" w:cstheme="majorBidi"/>
              </w:rPr>
              <w:sym w:font="Symbol" w:char="F0AE"/>
            </w:r>
            <w:r w:rsidRPr="00BD3D4F">
              <w:rPr>
                <w:rFonts w:asciiTheme="majorBidi" w:hAnsiTheme="majorBidi" w:cstheme="majorBidi"/>
                <w:lang w:val="fr-FR"/>
              </w:rPr>
              <w:t xml:space="preserve"> T1 </w:t>
            </w:r>
            <w:proofErr w:type="spellStart"/>
            <w:r w:rsidRPr="00BD3D4F">
              <w:rPr>
                <w:rFonts w:asciiTheme="majorBidi" w:hAnsiTheme="majorBidi" w:cstheme="majorBidi"/>
                <w:lang w:val="fr-FR"/>
              </w:rPr>
              <w:t>Continuance</w:t>
            </w:r>
            <w:proofErr w:type="spellEnd"/>
            <w:r w:rsidRPr="00BD3D4F">
              <w:rPr>
                <w:rFonts w:asciiTheme="majorBidi" w:hAnsiTheme="majorBidi" w:cstheme="majorBidi"/>
                <w:lang w:val="fr-FR"/>
              </w:rPr>
              <w:t xml:space="preserve"> </w:t>
            </w:r>
            <w:proofErr w:type="spellStart"/>
            <w:r w:rsidRPr="00BD3D4F">
              <w:rPr>
                <w:rFonts w:asciiTheme="majorBidi" w:hAnsiTheme="majorBidi" w:cstheme="majorBidi"/>
                <w:lang w:val="fr-FR"/>
              </w:rPr>
              <w:t>commitment</w:t>
            </w:r>
            <w:proofErr w:type="spellEnd"/>
            <w:r w:rsidRPr="00BD3D4F">
              <w:rPr>
                <w:rFonts w:asciiTheme="majorBidi" w:hAnsiTheme="majorBidi" w:cstheme="majorBidi"/>
                <w:lang w:val="fr-FR"/>
              </w:rPr>
              <w:t xml:space="preserve"> </w:t>
            </w:r>
            <w:r w:rsidRPr="00BD3D4F">
              <w:rPr>
                <w:rFonts w:asciiTheme="majorBidi" w:hAnsiTheme="majorBidi" w:cstheme="majorBidi"/>
              </w:rPr>
              <w:sym w:font="Symbol" w:char="F0AE"/>
            </w:r>
            <w:r w:rsidRPr="00BD3D4F">
              <w:rPr>
                <w:rFonts w:asciiTheme="majorBidi" w:hAnsiTheme="majorBidi" w:cstheme="majorBidi"/>
                <w:lang w:val="fr-FR"/>
              </w:rPr>
              <w:t xml:space="preserve"> </w:t>
            </w:r>
            <w:r w:rsidRPr="0070733C">
              <w:rPr>
                <w:rFonts w:asciiTheme="majorBidi" w:hAnsiTheme="majorBidi" w:cstheme="majorBidi"/>
                <w:lang w:val="fr-FR"/>
              </w:rPr>
              <w:t xml:space="preserve">T2 </w:t>
            </w:r>
            <w:proofErr w:type="spellStart"/>
            <w:r w:rsidRPr="00BD3D4F">
              <w:rPr>
                <w:rFonts w:asciiTheme="majorBidi" w:hAnsiTheme="majorBidi" w:cstheme="majorBidi"/>
                <w:lang w:val="fr-FR"/>
              </w:rPr>
              <w:t>Q</w:t>
            </w:r>
            <w:r w:rsidRPr="0070733C">
              <w:rPr>
                <w:rFonts w:asciiTheme="majorBidi" w:hAnsiTheme="majorBidi" w:cstheme="majorBidi"/>
                <w:lang w:val="fr-FR"/>
              </w:rPr>
              <w:t>uit</w:t>
            </w:r>
            <w:proofErr w:type="spellEnd"/>
            <w:r w:rsidRPr="0070733C">
              <w:rPr>
                <w:rFonts w:asciiTheme="majorBidi" w:hAnsiTheme="majorBidi" w:cstheme="majorBidi"/>
                <w:lang w:val="fr-FR"/>
              </w:rPr>
              <w:t xml:space="preserve"> intention</w:t>
            </w:r>
          </w:p>
        </w:tc>
        <w:tc>
          <w:tcPr>
            <w:tcW w:w="638"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w:t>
            </w:r>
            <w:r w:rsidR="00064C01">
              <w:rPr>
                <w:rFonts w:asciiTheme="majorBidi" w:hAnsiTheme="majorBidi" w:cstheme="majorBidi"/>
              </w:rPr>
              <w:t>5</w:t>
            </w:r>
          </w:p>
        </w:tc>
        <w:tc>
          <w:tcPr>
            <w:tcW w:w="726" w:type="dxa"/>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0.03</w:t>
            </w:r>
          </w:p>
        </w:tc>
        <w:tc>
          <w:tcPr>
            <w:tcW w:w="645"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w:t>
            </w:r>
            <w:r w:rsidR="00064C01">
              <w:rPr>
                <w:rFonts w:asciiTheme="majorBidi" w:hAnsiTheme="majorBidi" w:cstheme="majorBidi"/>
              </w:rPr>
              <w:t>1</w:t>
            </w:r>
          </w:p>
        </w:tc>
        <w:tc>
          <w:tcPr>
            <w:tcW w:w="781"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0.01</w:t>
            </w:r>
          </w:p>
        </w:tc>
        <w:tc>
          <w:tcPr>
            <w:tcW w:w="676"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.1</w:t>
            </w:r>
            <w:r w:rsidR="00064C01">
              <w:rPr>
                <w:rFonts w:asciiTheme="majorBidi" w:hAnsiTheme="majorBidi" w:cstheme="majorBidi"/>
              </w:rPr>
              <w:t>15</w:t>
            </w:r>
          </w:p>
        </w:tc>
        <w:tc>
          <w:tcPr>
            <w:tcW w:w="500" w:type="dxa"/>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-.03</w:t>
            </w:r>
          </w:p>
        </w:tc>
      </w:tr>
      <w:tr w:rsidR="00EC0434" w:rsidRPr="00BD3D4F" w:rsidTr="00E41356">
        <w:tc>
          <w:tcPr>
            <w:tcW w:w="5272"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ind w:firstLine="218"/>
              <w:rPr>
                <w:rFonts w:asciiTheme="majorBidi" w:hAnsiTheme="majorBidi" w:cstheme="majorBidi"/>
              </w:rPr>
            </w:pPr>
            <w:r w:rsidRPr="00BD3D4F">
              <w:rPr>
                <w:rFonts w:asciiTheme="majorBidi" w:hAnsiTheme="majorBidi" w:cstheme="majorBidi"/>
              </w:rPr>
              <w:t>Total effect</w:t>
            </w:r>
          </w:p>
        </w:tc>
        <w:tc>
          <w:tcPr>
            <w:tcW w:w="638"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40</w:t>
            </w:r>
          </w:p>
        </w:tc>
        <w:tc>
          <w:tcPr>
            <w:tcW w:w="726" w:type="dxa"/>
            <w:tcBorders>
              <w:bottom w:val="single" w:sz="12" w:space="0" w:color="000000"/>
            </w:tcBorders>
            <w:vAlign w:val="center"/>
          </w:tcPr>
          <w:p w:rsidR="00EC0434" w:rsidRPr="00BD3D4F" w:rsidRDefault="00EC0434" w:rsidP="00C35D05">
            <w:pPr>
              <w:jc w:val="right"/>
              <w:rPr>
                <w:rFonts w:asciiTheme="majorBidi" w:hAnsiTheme="majorBidi" w:cstheme="majorBidi"/>
              </w:rPr>
            </w:pPr>
            <w:r>
              <w:rPr>
                <w:rFonts w:asciiTheme="majorBidi" w:hAnsiTheme="majorBidi" w:cstheme="majorBidi"/>
              </w:rPr>
              <w:t>0.1</w:t>
            </w:r>
            <w:r w:rsidR="00064C01">
              <w:rPr>
                <w:rFonts w:asciiTheme="majorBidi" w:hAnsiTheme="majorBidi" w:cstheme="majorBidi"/>
              </w:rPr>
              <w:t>2</w:t>
            </w:r>
          </w:p>
        </w:tc>
        <w:tc>
          <w:tcPr>
            <w:tcW w:w="645"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0.1</w:t>
            </w:r>
            <w:r w:rsidR="00064C01">
              <w:rPr>
                <w:rFonts w:asciiTheme="majorBidi" w:hAnsiTheme="majorBidi" w:cstheme="majorBidi"/>
              </w:rPr>
              <w:t>6</w:t>
            </w:r>
          </w:p>
        </w:tc>
        <w:tc>
          <w:tcPr>
            <w:tcW w:w="781"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64</w:t>
            </w:r>
          </w:p>
        </w:tc>
        <w:tc>
          <w:tcPr>
            <w:tcW w:w="676"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.0</w:t>
            </w:r>
            <w:r w:rsidR="00064C01">
              <w:rPr>
                <w:rFonts w:asciiTheme="majorBidi" w:hAnsiTheme="majorBidi" w:cstheme="majorBidi"/>
              </w:rPr>
              <w:t>01</w:t>
            </w:r>
          </w:p>
        </w:tc>
        <w:tc>
          <w:tcPr>
            <w:tcW w:w="500" w:type="dxa"/>
            <w:tcBorders>
              <w:bottom w:val="single" w:sz="12" w:space="0" w:color="000000"/>
            </w:tcBorders>
            <w:tcMar>
              <w:top w:w="15" w:type="dxa"/>
              <w:left w:w="60" w:type="dxa"/>
              <w:bottom w:w="15" w:type="dxa"/>
              <w:right w:w="60" w:type="dxa"/>
            </w:tcMar>
            <w:vAlign w:val="center"/>
            <w:hideMark/>
          </w:tcPr>
          <w:p w:rsidR="00EC0434" w:rsidRPr="00BD3D4F" w:rsidRDefault="00EC0434" w:rsidP="00C35D05">
            <w:pPr>
              <w:jc w:val="right"/>
              <w:rPr>
                <w:rFonts w:asciiTheme="majorBidi" w:hAnsiTheme="majorBidi" w:cstheme="majorBidi"/>
              </w:rPr>
            </w:pPr>
            <w:r w:rsidRPr="00BD3D4F">
              <w:rPr>
                <w:rFonts w:asciiTheme="majorBidi" w:hAnsiTheme="majorBidi" w:cstheme="majorBidi"/>
              </w:rPr>
              <w:t>.2</w:t>
            </w:r>
            <w:r w:rsidR="00064C01">
              <w:rPr>
                <w:rFonts w:asciiTheme="majorBidi" w:hAnsiTheme="majorBidi" w:cstheme="majorBidi"/>
              </w:rPr>
              <w:t>4</w:t>
            </w:r>
          </w:p>
        </w:tc>
      </w:tr>
    </w:tbl>
    <w:p w:rsidR="00EC0434" w:rsidRPr="00BD3D4F" w:rsidRDefault="00EC0434" w:rsidP="00EC0434">
      <w:pPr>
        <w:ind w:right="4"/>
        <w:rPr>
          <w:rFonts w:asciiTheme="majorBidi" w:hAnsiTheme="majorBidi" w:cstheme="majorBidi"/>
        </w:rPr>
      </w:pPr>
      <w:r w:rsidRPr="00BD3D4F">
        <w:rPr>
          <w:rFonts w:asciiTheme="majorBidi" w:hAnsiTheme="majorBidi" w:cstheme="majorBidi"/>
          <w:i/>
          <w:iCs/>
        </w:rPr>
        <w:t>Notes</w:t>
      </w:r>
      <w:r w:rsidRPr="00BD3D4F">
        <w:rPr>
          <w:rFonts w:asciiTheme="majorBidi" w:hAnsiTheme="majorBidi" w:cstheme="majorBidi"/>
        </w:rPr>
        <w:t xml:space="preserve">. </w:t>
      </w:r>
      <w:r w:rsidRPr="00BD3D4F">
        <w:rPr>
          <w:rFonts w:asciiTheme="majorBidi" w:hAnsiTheme="majorBidi" w:cstheme="majorBidi"/>
          <w:i/>
          <w:iCs/>
        </w:rPr>
        <w:t>N</w:t>
      </w:r>
      <w:r w:rsidRPr="00BD3D4F">
        <w:rPr>
          <w:rFonts w:asciiTheme="majorBidi" w:hAnsiTheme="majorBidi" w:cstheme="majorBidi"/>
        </w:rPr>
        <w:t xml:space="preserve"> = </w:t>
      </w:r>
      <w:r w:rsidR="00AE00F4">
        <w:rPr>
          <w:rFonts w:asciiTheme="majorBidi" w:hAnsiTheme="majorBidi" w:cstheme="majorBidi"/>
        </w:rPr>
        <w:t>363</w:t>
      </w:r>
      <w:r w:rsidRPr="00BD3D4F">
        <w:rPr>
          <w:rFonts w:asciiTheme="majorBidi" w:hAnsiTheme="majorBidi" w:cstheme="majorBidi"/>
        </w:rPr>
        <w:t xml:space="preserve">. </w:t>
      </w:r>
      <w:r w:rsidRPr="00BD3D4F">
        <w:rPr>
          <w:rFonts w:asciiTheme="majorBidi" w:hAnsiTheme="majorBidi" w:cstheme="majorBidi"/>
          <w:i/>
          <w:iCs/>
        </w:rPr>
        <w:t>B</w:t>
      </w:r>
      <w:r w:rsidRPr="00BD3D4F">
        <w:rPr>
          <w:rFonts w:asciiTheme="majorBidi" w:hAnsiTheme="majorBidi" w:cstheme="majorBidi"/>
        </w:rPr>
        <w:t xml:space="preserve"> = unstandardized estimate; 95% CI</w:t>
      </w:r>
      <w:r w:rsidRPr="00BD3D4F">
        <w:rPr>
          <w:rFonts w:asciiTheme="majorBidi" w:hAnsiTheme="majorBidi" w:cstheme="majorBidi"/>
          <w:i/>
          <w:iCs/>
          <w:vertAlign w:val="subscript"/>
        </w:rPr>
        <w:t>B</w:t>
      </w:r>
      <w:r w:rsidRPr="00BD3D4F">
        <w:rPr>
          <w:rFonts w:asciiTheme="majorBidi" w:hAnsiTheme="majorBidi" w:cstheme="majorBidi"/>
        </w:rPr>
        <w:t xml:space="preserve"> = 95% bootstrap confidence interval (5,000 samples); </w:t>
      </w:r>
      <w:r w:rsidRPr="00BD3D4F">
        <w:rPr>
          <w:rFonts w:asciiTheme="majorBidi" w:hAnsiTheme="majorBidi" w:cstheme="majorBidi"/>
          <w:i/>
          <w:iCs/>
          <w:shd w:val="clear" w:color="auto" w:fill="FFFFFF"/>
        </w:rPr>
        <w:t>β</w:t>
      </w:r>
      <w:r w:rsidRPr="00BD3D4F">
        <w:rPr>
          <w:rFonts w:asciiTheme="majorBidi" w:hAnsiTheme="majorBidi" w:cstheme="majorBidi"/>
        </w:rPr>
        <w:t xml:space="preserve"> = standardized estimate; DV = dependent variable. Code for gender: 1 = male, 2 = female.</w:t>
      </w:r>
    </w:p>
    <w:p w:rsidR="00EC0434" w:rsidRPr="00BD3D4F" w:rsidRDefault="00EC0434" w:rsidP="00EC0434">
      <w:pPr>
        <w:ind w:right="4"/>
        <w:rPr>
          <w:rFonts w:asciiTheme="majorBidi" w:hAnsiTheme="majorBidi" w:cstheme="majorBidi"/>
        </w:rPr>
      </w:pPr>
      <w:r w:rsidRPr="00BD3D4F">
        <w:rPr>
          <w:rFonts w:asciiTheme="majorBidi" w:hAnsiTheme="majorBidi" w:cstheme="majorBidi"/>
        </w:rPr>
        <w:t xml:space="preserve">Control variables were included in </w:t>
      </w:r>
      <w:r w:rsidR="00AE00F4">
        <w:rPr>
          <w:rFonts w:asciiTheme="majorBidi" w:hAnsiTheme="majorBidi" w:cstheme="majorBidi"/>
        </w:rPr>
        <w:t>both</w:t>
      </w:r>
      <w:r w:rsidRPr="00BD3D4F">
        <w:rPr>
          <w:rFonts w:asciiTheme="majorBidi" w:hAnsiTheme="majorBidi" w:cstheme="majorBidi"/>
        </w:rPr>
        <w:t xml:space="preserve"> analyses. We report control variable estimates only for Step 1 because none of the control variables were related to T1 affective commitment, T1 continuance commitment, or T2 quit intention. </w:t>
      </w:r>
    </w:p>
    <w:p w:rsidR="00EC0434" w:rsidRPr="00BD3D4F" w:rsidRDefault="00EC0434" w:rsidP="00EC0434">
      <w:pPr>
        <w:ind w:right="4"/>
        <w:rPr>
          <w:rFonts w:asciiTheme="majorBidi" w:hAnsiTheme="majorBidi" w:cstheme="majorBidi"/>
        </w:rPr>
      </w:pPr>
    </w:p>
    <w:p w:rsidR="00BF6DE9" w:rsidRDefault="00BF6DE9" w:rsidP="00EA2221">
      <w:pPr>
        <w:ind w:right="4"/>
        <w:rPr>
          <w:rFonts w:asciiTheme="majorBidi" w:hAnsiTheme="majorBidi" w:cstheme="majorBidi"/>
        </w:rPr>
      </w:pPr>
    </w:p>
    <w:p w:rsidR="00BF6DE9" w:rsidRDefault="00BF6DE9" w:rsidP="00EA2221">
      <w:pPr>
        <w:ind w:right="4"/>
        <w:rPr>
          <w:rFonts w:asciiTheme="majorBidi" w:hAnsiTheme="majorBidi" w:cstheme="majorBidi"/>
        </w:rPr>
      </w:pPr>
    </w:p>
    <w:p w:rsidR="007D472E" w:rsidRDefault="007D472E" w:rsidP="00BF6DE9">
      <w:pPr>
        <w:ind w:right="4"/>
        <w:jc w:val="center"/>
        <w:rPr>
          <w:rFonts w:asciiTheme="majorBidi" w:hAnsiTheme="majorBidi" w:cstheme="majorBidi"/>
          <w:b/>
          <w:bCs/>
        </w:rPr>
        <w:sectPr w:rsidR="007D472E" w:rsidSect="00715F8C">
          <w:pgSz w:w="12240" w:h="15840"/>
          <w:pgMar w:top="1440" w:right="1440" w:bottom="1440" w:left="1440" w:header="708" w:footer="708" w:gutter="0"/>
          <w:cols w:space="708"/>
          <w:docGrid w:linePitch="360"/>
        </w:sectPr>
      </w:pPr>
    </w:p>
    <w:p w:rsidR="00BF6DE9" w:rsidRPr="00BF6DE9" w:rsidRDefault="00BF6DE9" w:rsidP="00BF6DE9">
      <w:pPr>
        <w:ind w:right="4"/>
        <w:jc w:val="center"/>
        <w:rPr>
          <w:rFonts w:asciiTheme="majorBidi" w:hAnsiTheme="majorBidi" w:cstheme="majorBidi"/>
          <w:b/>
          <w:bCs/>
        </w:rPr>
      </w:pPr>
      <w:r w:rsidRPr="00BF6DE9">
        <w:rPr>
          <w:rFonts w:asciiTheme="majorBidi" w:hAnsiTheme="majorBidi" w:cstheme="majorBidi"/>
          <w:b/>
          <w:bCs/>
        </w:rPr>
        <w:lastRenderedPageBreak/>
        <w:t>References</w:t>
      </w:r>
    </w:p>
    <w:p w:rsidR="00BF6DE9" w:rsidRDefault="00BF6DE9" w:rsidP="00EA2221">
      <w:pPr>
        <w:ind w:right="4"/>
        <w:rPr>
          <w:rFonts w:asciiTheme="majorBidi" w:hAnsiTheme="majorBidi" w:cstheme="majorBidi"/>
        </w:rPr>
      </w:pPr>
    </w:p>
    <w:p w:rsidR="007D472E" w:rsidRDefault="007D472E" w:rsidP="00BF6DE9">
      <w:pPr>
        <w:ind w:right="4"/>
        <w:rPr>
          <w:rFonts w:asciiTheme="majorBidi" w:hAnsiTheme="majorBidi" w:cstheme="majorBidi"/>
        </w:rPr>
      </w:pPr>
      <w:r w:rsidRPr="007D472E">
        <w:rPr>
          <w:rFonts w:asciiTheme="majorBidi" w:hAnsiTheme="majorBidi" w:cstheme="majorBidi"/>
        </w:rPr>
        <w:t xml:space="preserve">Jorgensen, T. D., </w:t>
      </w:r>
      <w:proofErr w:type="spellStart"/>
      <w:r w:rsidRPr="007D472E">
        <w:rPr>
          <w:rFonts w:asciiTheme="majorBidi" w:hAnsiTheme="majorBidi" w:cstheme="majorBidi"/>
        </w:rPr>
        <w:t>Pornprasertmanit</w:t>
      </w:r>
      <w:proofErr w:type="spellEnd"/>
      <w:r w:rsidRPr="007D472E">
        <w:rPr>
          <w:rFonts w:asciiTheme="majorBidi" w:hAnsiTheme="majorBidi" w:cstheme="majorBidi"/>
        </w:rPr>
        <w:t xml:space="preserve">, S., </w:t>
      </w:r>
      <w:proofErr w:type="spellStart"/>
      <w:r w:rsidRPr="007D472E">
        <w:rPr>
          <w:rFonts w:asciiTheme="majorBidi" w:hAnsiTheme="majorBidi" w:cstheme="majorBidi"/>
        </w:rPr>
        <w:t>Schoemann</w:t>
      </w:r>
      <w:proofErr w:type="spellEnd"/>
      <w:r w:rsidRPr="007D472E">
        <w:rPr>
          <w:rFonts w:asciiTheme="majorBidi" w:hAnsiTheme="majorBidi" w:cstheme="majorBidi"/>
        </w:rPr>
        <w:t xml:space="preserve">, A. M., &amp; </w:t>
      </w:r>
      <w:proofErr w:type="spellStart"/>
      <w:r w:rsidRPr="007D472E">
        <w:rPr>
          <w:rFonts w:asciiTheme="majorBidi" w:hAnsiTheme="majorBidi" w:cstheme="majorBidi"/>
        </w:rPr>
        <w:t>Rosseel</w:t>
      </w:r>
      <w:proofErr w:type="spellEnd"/>
      <w:r w:rsidRPr="007D472E">
        <w:rPr>
          <w:rFonts w:asciiTheme="majorBidi" w:hAnsiTheme="majorBidi" w:cstheme="majorBidi"/>
        </w:rPr>
        <w:t xml:space="preserve">, Y. (2022). </w:t>
      </w:r>
      <w:proofErr w:type="spellStart"/>
      <w:r w:rsidRPr="007D472E">
        <w:rPr>
          <w:rFonts w:asciiTheme="majorBidi" w:hAnsiTheme="majorBidi" w:cstheme="majorBidi"/>
        </w:rPr>
        <w:t>semTools</w:t>
      </w:r>
      <w:proofErr w:type="spellEnd"/>
      <w:r w:rsidRPr="007D472E">
        <w:rPr>
          <w:rFonts w:asciiTheme="majorBidi" w:hAnsiTheme="majorBidi" w:cstheme="majorBidi"/>
        </w:rPr>
        <w:t xml:space="preserve">: Useful tools for structural equation modeling (R package version 0.5-6) [Computer software]. </w:t>
      </w:r>
      <w:hyperlink r:id="rId4" w:history="1">
        <w:r w:rsidRPr="00500E61">
          <w:rPr>
            <w:rStyle w:val="Hyperlink"/>
            <w:rFonts w:asciiTheme="majorBidi" w:hAnsiTheme="majorBidi" w:cstheme="majorBidi"/>
          </w:rPr>
          <w:t>https://CRAN.R-project.org/package=semTools</w:t>
        </w:r>
      </w:hyperlink>
    </w:p>
    <w:p w:rsidR="007D472E" w:rsidRDefault="007D472E" w:rsidP="00BF6DE9">
      <w:pPr>
        <w:ind w:right="4"/>
        <w:rPr>
          <w:rFonts w:asciiTheme="majorBidi" w:hAnsiTheme="majorBidi" w:cstheme="majorBidi"/>
        </w:rPr>
      </w:pPr>
    </w:p>
    <w:p w:rsidR="00BF6DE9" w:rsidRPr="00BD3D4F" w:rsidRDefault="00BF6DE9" w:rsidP="00BF6DE9">
      <w:pPr>
        <w:ind w:right="4"/>
        <w:rPr>
          <w:rFonts w:asciiTheme="majorBidi" w:hAnsiTheme="majorBidi" w:cstheme="majorBidi"/>
        </w:rPr>
        <w:sectPr w:rsidR="00BF6DE9" w:rsidRPr="00BD3D4F" w:rsidSect="00715F8C">
          <w:pgSz w:w="12240" w:h="15840"/>
          <w:pgMar w:top="1440" w:right="1440" w:bottom="1440" w:left="1440" w:header="708" w:footer="708" w:gutter="0"/>
          <w:cols w:space="708"/>
          <w:docGrid w:linePitch="360"/>
        </w:sectPr>
      </w:pPr>
      <w:r w:rsidRPr="00BF6DE9">
        <w:rPr>
          <w:rFonts w:asciiTheme="majorBidi" w:hAnsiTheme="majorBidi" w:cstheme="majorBidi"/>
        </w:rPr>
        <w:t xml:space="preserve">Rubin, D. B. (1987). </w:t>
      </w:r>
      <w:r w:rsidRPr="00BF6DE9">
        <w:rPr>
          <w:rFonts w:asciiTheme="majorBidi" w:hAnsiTheme="majorBidi" w:cstheme="majorBidi"/>
          <w:i/>
          <w:iCs/>
        </w:rPr>
        <w:t>Multiple imputation for nonresponse in surveys</w:t>
      </w:r>
      <w:r w:rsidRPr="00BF6DE9">
        <w:rPr>
          <w:rFonts w:asciiTheme="majorBidi" w:hAnsiTheme="majorBidi" w:cstheme="majorBidi"/>
        </w:rPr>
        <w:t>. John Wiley &amp; Sons.</w:t>
      </w:r>
    </w:p>
    <w:p w:rsidR="005A70CF" w:rsidRDefault="005A70CF"/>
    <w:sectPr w:rsidR="005A7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CF"/>
    <w:rsid w:val="00064C01"/>
    <w:rsid w:val="00252594"/>
    <w:rsid w:val="00276CF4"/>
    <w:rsid w:val="002E38BA"/>
    <w:rsid w:val="00354244"/>
    <w:rsid w:val="003A7C5F"/>
    <w:rsid w:val="005A70CF"/>
    <w:rsid w:val="00606272"/>
    <w:rsid w:val="00615D22"/>
    <w:rsid w:val="007576E8"/>
    <w:rsid w:val="007859B0"/>
    <w:rsid w:val="007D472E"/>
    <w:rsid w:val="007E2E4A"/>
    <w:rsid w:val="00811999"/>
    <w:rsid w:val="00813E7C"/>
    <w:rsid w:val="00A01B67"/>
    <w:rsid w:val="00AE00F4"/>
    <w:rsid w:val="00BF5A54"/>
    <w:rsid w:val="00BF6DE9"/>
    <w:rsid w:val="00C3251F"/>
    <w:rsid w:val="00E015CE"/>
    <w:rsid w:val="00E26D5F"/>
    <w:rsid w:val="00E41356"/>
    <w:rsid w:val="00E56193"/>
    <w:rsid w:val="00EA2221"/>
    <w:rsid w:val="00EC0434"/>
    <w:rsid w:val="00FB03DA"/>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CDC676"/>
  <w15:chartTrackingRefBased/>
  <w15:docId w15:val="{397D0877-77DB-6449-A3A6-7A24B3EE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21"/>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autoRedefine/>
    <w:uiPriority w:val="9"/>
    <w:qFormat/>
    <w:rsid w:val="00E5619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56193"/>
    <w:pPr>
      <w:keepNext/>
      <w:keepLines/>
      <w:spacing w:before="12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E56193"/>
    <w:pPr>
      <w:keepNext/>
      <w:keepLines/>
      <w:spacing w:before="40" w:after="40"/>
      <w:outlineLvl w:val="2"/>
    </w:pPr>
    <w:rPr>
      <w:rFonts w:asciiTheme="majorHAnsi" w:eastAsiaTheme="majorEastAsia" w:hAnsiTheme="majorHAnsi" w:cstheme="majorBidi"/>
      <w:color w:val="000000" w:themeColor="text1"/>
      <w:sz w:val="28"/>
    </w:rPr>
  </w:style>
  <w:style w:type="paragraph" w:styleId="Heading4">
    <w:name w:val="heading 4"/>
    <w:basedOn w:val="Normal"/>
    <w:next w:val="Normal"/>
    <w:link w:val="Heading4Char"/>
    <w:autoRedefine/>
    <w:uiPriority w:val="9"/>
    <w:unhideWhenUsed/>
    <w:qFormat/>
    <w:rsid w:val="00E56193"/>
    <w:pPr>
      <w:keepNext/>
      <w:keepLines/>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text">
    <w:name w:val="Small_text"/>
    <w:basedOn w:val="BodyText"/>
    <w:qFormat/>
    <w:rsid w:val="00FB03DA"/>
    <w:pPr>
      <w:spacing w:after="0" w:line="480" w:lineRule="auto"/>
      <w:ind w:firstLine="720"/>
    </w:pPr>
    <w:rPr>
      <w:rFonts w:eastAsiaTheme="minorHAnsi"/>
      <w:lang w:eastAsia="en-US"/>
    </w:rPr>
  </w:style>
  <w:style w:type="paragraph" w:styleId="BodyText">
    <w:name w:val="Body Text"/>
    <w:basedOn w:val="Normal"/>
    <w:link w:val="BodyTextChar"/>
    <w:unhideWhenUsed/>
    <w:qFormat/>
    <w:rsid w:val="00FB03DA"/>
    <w:pPr>
      <w:spacing w:after="120"/>
    </w:pPr>
  </w:style>
  <w:style w:type="character" w:customStyle="1" w:styleId="BodyTextChar">
    <w:name w:val="Body Text Char"/>
    <w:basedOn w:val="DefaultParagraphFont"/>
    <w:link w:val="BodyText"/>
    <w:rsid w:val="00FB03DA"/>
  </w:style>
  <w:style w:type="paragraph" w:styleId="FootnoteText">
    <w:name w:val="footnote text"/>
    <w:basedOn w:val="Normal"/>
    <w:link w:val="FootnoteTextChar"/>
    <w:uiPriority w:val="9"/>
    <w:unhideWhenUsed/>
    <w:qFormat/>
    <w:rsid w:val="007576E8"/>
    <w:pPr>
      <w:spacing w:after="200"/>
    </w:pPr>
    <w:rPr>
      <w:rFonts w:asciiTheme="majorBidi" w:eastAsiaTheme="minorHAnsi" w:hAnsiTheme="majorBidi"/>
      <w:sz w:val="20"/>
      <w:lang w:eastAsia="en-US"/>
    </w:rPr>
  </w:style>
  <w:style w:type="character" w:customStyle="1" w:styleId="FootnoteTextChar">
    <w:name w:val="Footnote Text Char"/>
    <w:basedOn w:val="DefaultParagraphFont"/>
    <w:link w:val="FootnoteText"/>
    <w:uiPriority w:val="9"/>
    <w:rsid w:val="007576E8"/>
    <w:rPr>
      <w:rFonts w:asciiTheme="majorBidi" w:eastAsiaTheme="minorHAnsi" w:hAnsiTheme="majorBidi"/>
      <w:sz w:val="20"/>
      <w:lang w:val="en-US" w:eastAsia="en-US"/>
    </w:rPr>
  </w:style>
  <w:style w:type="paragraph" w:customStyle="1" w:styleId="Reasonable">
    <w:name w:val="Reasonable"/>
    <w:basedOn w:val="Normal"/>
    <w:next w:val="Heading1"/>
    <w:qFormat/>
    <w:rsid w:val="00E56193"/>
    <w:rPr>
      <w:b/>
      <w:sz w:val="32"/>
    </w:rPr>
  </w:style>
  <w:style w:type="character" w:customStyle="1" w:styleId="Heading1Char">
    <w:name w:val="Heading 1 Char"/>
    <w:basedOn w:val="DefaultParagraphFont"/>
    <w:link w:val="Heading1"/>
    <w:uiPriority w:val="9"/>
    <w:rsid w:val="00E5619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6193"/>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E56193"/>
    <w:rPr>
      <w:rFonts w:asciiTheme="majorHAnsi" w:eastAsiaTheme="majorEastAsia" w:hAnsiTheme="majorHAnsi" w:cstheme="majorBidi"/>
      <w:color w:val="000000" w:themeColor="text1"/>
      <w:sz w:val="28"/>
    </w:rPr>
  </w:style>
  <w:style w:type="character" w:customStyle="1" w:styleId="Heading4Char">
    <w:name w:val="Heading 4 Char"/>
    <w:basedOn w:val="DefaultParagraphFont"/>
    <w:link w:val="Heading4"/>
    <w:uiPriority w:val="9"/>
    <w:rsid w:val="00E56193"/>
    <w:rPr>
      <w:rFonts w:asciiTheme="majorHAnsi" w:eastAsiaTheme="majorEastAsia" w:hAnsiTheme="majorHAnsi" w:cstheme="majorBidi"/>
      <w:i/>
      <w:iCs/>
      <w:color w:val="000000" w:themeColor="text1"/>
    </w:rPr>
  </w:style>
  <w:style w:type="character" w:styleId="Hyperlink">
    <w:name w:val="Hyperlink"/>
    <w:basedOn w:val="DefaultParagraphFont"/>
    <w:uiPriority w:val="99"/>
    <w:unhideWhenUsed/>
    <w:rsid w:val="007D472E"/>
    <w:rPr>
      <w:color w:val="0563C1" w:themeColor="hyperlink"/>
      <w:u w:val="single"/>
    </w:rPr>
  </w:style>
  <w:style w:type="character" w:styleId="UnresolvedMention">
    <w:name w:val="Unresolved Mention"/>
    <w:basedOn w:val="DefaultParagraphFont"/>
    <w:uiPriority w:val="99"/>
    <w:semiHidden/>
    <w:unhideWhenUsed/>
    <w:rsid w:val="007D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package=se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 K</dc:creator>
  <cp:keywords/>
  <dc:description/>
  <cp:lastModifiedBy>Anka K</cp:lastModifiedBy>
  <cp:revision>16</cp:revision>
  <dcterms:created xsi:type="dcterms:W3CDTF">2024-01-23T09:02:00Z</dcterms:created>
  <dcterms:modified xsi:type="dcterms:W3CDTF">2024-01-23T23:59:00Z</dcterms:modified>
</cp:coreProperties>
</file>