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Implementation</w:t>
      </w:r>
      <w:r>
        <w:t xml:space="preserve"> </w:t>
      </w:r>
      <w:r>
        <w:t xml:space="preserve">of</w:t>
      </w:r>
      <w:r>
        <w:t xml:space="preserve"> </w:t>
      </w:r>
      <w:r>
        <w:t xml:space="preserve">AI-Enabled</w:t>
      </w:r>
      <w:r>
        <w:t xml:space="preserve"> </w:t>
      </w:r>
      <w:r>
        <w:t xml:space="preserve">Medical</w:t>
      </w:r>
      <w:r>
        <w:t xml:space="preserve"> </w:t>
      </w:r>
      <w:r>
        <w:t xml:space="preserve">Support</w:t>
      </w:r>
      <w:r>
        <w:t xml:space="preserve"> </w:t>
      </w:r>
      <w:r>
        <w:t xml:space="preserve">Systems:</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r>
        <w:t xml:space="preserve"> </w:t>
      </w:r>
      <w:r>
        <w:t xml:space="preserve">Based</w:t>
      </w:r>
      <w:r>
        <w:t xml:space="preserve"> </w:t>
      </w:r>
      <w:r>
        <w:t xml:space="preserve">on</w:t>
      </w:r>
      <w:r>
        <w:t xml:space="preserve"> </w:t>
      </w:r>
      <w:r>
        <w:t xml:space="preserve">the</w:t>
      </w:r>
      <w:r>
        <w:t xml:space="preserve"> </w:t>
      </w:r>
      <w:r>
        <w:t xml:space="preserve">Universal</w:t>
      </w:r>
      <w:r>
        <w:t xml:space="preserve"> </w:t>
      </w:r>
      <w:r>
        <w:t xml:space="preserve">Theory</w:t>
      </w:r>
      <w:r>
        <w:t xml:space="preserve"> </w:t>
      </w:r>
      <w:r>
        <w:t xml:space="preserve">of</w:t>
      </w:r>
      <w:r>
        <w:t xml:space="preserve"> </w:t>
      </w:r>
      <w:r>
        <w:t xml:space="preserve">Acceptance</w:t>
      </w:r>
      <w:r>
        <w:t xml:space="preserve"> </w:t>
      </w:r>
      <w:r>
        <w:t xml:space="preserve">and</w:t>
      </w:r>
      <w:r>
        <w:t xml:space="preserve"> </w:t>
      </w:r>
      <w:r>
        <w:t xml:space="preserve">Use</w:t>
      </w:r>
      <w:r>
        <w:t xml:space="preserve"> </w:t>
      </w:r>
      <w:r>
        <w:t xml:space="preserve">of</w:t>
      </w:r>
      <w:r>
        <w:t xml:space="preserve"> </w:t>
      </w:r>
      <w:r>
        <w:t xml:space="preserve">Technology</w:t>
      </w:r>
    </w:p>
    <w:p>
      <w:pPr>
        <w:pStyle w:val="Author"/>
      </w:pPr>
      <w:r>
        <w:t xml:space="preserve">Anne-Kathrin</w:t>
      </w:r>
      <w:r>
        <w:t xml:space="preserve"> </w:t>
      </w:r>
      <w:r>
        <w:t xml:space="preserve">Kleine</w:t>
      </w:r>
    </w:p>
    <w:bookmarkStart w:id="27" w:name="abstract"/>
    <w:p>
      <w:pPr>
        <w:pStyle w:val="Heading1"/>
      </w:pPr>
      <w:r>
        <w:t xml:space="preserve">Abstract</w:t>
      </w:r>
    </w:p>
    <w:bookmarkStart w:id="20" w:name="X59462b8e50d9055ff390a55b8313ce73aa9c537"/>
    <w:p>
      <w:pPr>
        <w:pStyle w:val="Heading2"/>
      </w:pPr>
      <w:r>
        <w:t xml:space="preserve">Research goals and why the work was worth doing</w:t>
      </w:r>
    </w:p>
    <w:p>
      <w:pPr>
        <w:pStyle w:val="FirstParagraph"/>
      </w:pPr>
      <w:r>
        <w:t xml:space="preserve">Artificial intelligence (AI) enabled clinical decision support systems (CDSS) may help clinicians diagnose diseases and forecast disease courses, select appropriate treatment regimens, and predict treatment outcomes</w:t>
      </w:r>
      <w:r>
        <w:t xml:space="preserve"> </w:t>
      </w:r>
      <w:r>
        <w:t xml:space="preserve">(e.g., Davenport &amp; Kalakota, 2019)</w:t>
      </w:r>
      <w:r>
        <w:t xml:space="preserve">.</w:t>
      </w:r>
      <w:r>
        <w:t xml:space="preserve"> </w:t>
      </w:r>
      <w:r>
        <w:t xml:space="preserve">The use of AI tools has become widespread in some healthcare areas.</w:t>
      </w:r>
      <w:r>
        <w:t xml:space="preserve"> </w:t>
      </w:r>
      <w:r>
        <w:t xml:space="preserve">For example, radiologists use AI recommendations to detect cancerous lumps</w:t>
      </w:r>
      <w:r>
        <w:t xml:space="preserve"> </w:t>
      </w:r>
      <w:r>
        <w:t xml:space="preserve">(van Leeuwen et al., 2021)</w:t>
      </w:r>
      <w:r>
        <w:t xml:space="preserve">.</w:t>
      </w:r>
      <w:r>
        <w:t xml:space="preserve"> </w:t>
      </w:r>
      <w:r>
        <w:t xml:space="preserve">At the same time, healthcare practitioners often do not adopt available tools</w:t>
      </w:r>
      <w:r>
        <w:t xml:space="preserve"> </w:t>
      </w:r>
      <w:r>
        <w:t xml:space="preserve">(e.g., Sendak et al., 2020)</w:t>
      </w:r>
      <w:r>
        <w:t xml:space="preserve">. Reasons for their skepticism include a general reluctance to base decisions on algorithms, data privacy concerns, or the belief that these tools do not offer any benefits for their care</w:t>
      </w:r>
      <w:r>
        <w:t xml:space="preserve"> </w:t>
      </w:r>
      <w:r>
        <w:t xml:space="preserve">(e.g., Shaw et al., 2019)</w:t>
      </w:r>
      <w:r>
        <w:t xml:space="preserve">.</w:t>
      </w:r>
    </w:p>
    <w:p>
      <w:pPr>
        <w:pStyle w:val="BodyText"/>
      </w:pPr>
      <w:r>
        <w:t xml:space="preserve">AI-enabled CDSS may not only enhance efficiency and effectiveness in healthcare but has the potential to reconfigure the way care is delivered</w:t>
      </w:r>
      <w:r>
        <w:t xml:space="preserve"> </w:t>
      </w:r>
      <w:r>
        <w:t xml:space="preserve">(Shaw et al., 2019)</w:t>
      </w:r>
      <w:r>
        <w:t xml:space="preserve">.</w:t>
      </w:r>
      <w:r>
        <w:t xml:space="preserve"> </w:t>
      </w:r>
      <w:r>
        <w:t xml:space="preserve">Based on the unified theory of acceptance and use of technology [UTAUT;</w:t>
      </w:r>
      <w:r>
        <w:t xml:space="preserve"> </w:t>
      </w:r>
      <w:r>
        <w:t xml:space="preserve">Venkatesh et al. (2003)</w:t>
      </w:r>
      <w:r>
        <w:t xml:space="preserve">;</w:t>
      </w:r>
      <w:r>
        <w:t xml:space="preserve"> </w:t>
      </w:r>
      <w:r>
        <w:t xml:space="preserve">Venkatesh et al. (2016)</w:t>
      </w:r>
      <w:r>
        <w:t xml:space="preserve">], the current meta-analysis examines the predictors and boundary conditions of the intention to use AI-enabled CDSS.</w:t>
      </w:r>
      <w:r>
        <w:t xml:space="preserve"> </w:t>
      </w:r>
      <w:r>
        <w:t xml:space="preserve">Over the past years, the UTAUT has been applied extensively to study the acceptance and intention to use AI-enabled tools in healthcare</w:t>
      </w:r>
      <w:r>
        <w:t xml:space="preserve"> </w:t>
      </w:r>
      <w:r>
        <w:t xml:space="preserve">(e.g., Fan et al., 2020; Tamori et al., 2022)</w:t>
      </w:r>
      <w:r>
        <w:t xml:space="preserve">. Despite the accumulation of research, we still lack a comprehensive overview and empirical integration of research findings on the antecedents of the intention to use AI-enabled CDSS among clinicians.</w:t>
      </w:r>
    </w:p>
    <w:bookmarkEnd w:id="20"/>
    <w:bookmarkStart w:id="21" w:name="theoretical-background"/>
    <w:p>
      <w:pPr>
        <w:pStyle w:val="Heading2"/>
      </w:pPr>
      <w:r>
        <w:t xml:space="preserve">Theoretical background</w:t>
      </w:r>
    </w:p>
    <w:p>
      <w:pPr>
        <w:pStyle w:val="FirstParagraph"/>
      </w:pPr>
      <w:r>
        <w:t xml:space="preserve">The UTAUT provides a theoretical framework that explains the relationship between technology, environment, and user characteristics with the behavioral intention to use an AI-enabled tool. It includes four main predictors of the intention to use a tool: a) performance expectancy, as the degree to which an individual believes that using a system will enhance their performance, b) effort expectancy, as the degree of ease associated with using the technology, c) social influence, as the perception that important others believe that the system should be used, and d) facilitating conditions, as the belief that the infrastructure exists to support the use of the system.</w:t>
      </w:r>
      <w:r>
        <w:t xml:space="preserve"> </w:t>
      </w:r>
      <w:r>
        <w:t xml:space="preserve">Because of the high-stakes decision-making process and the sensitive nature of the data used for AI-enabled recommendation systems in healthcare, we include trust as a relevant additional predictor of the behavioral intention to use AI-enabled CDSS</w:t>
      </w:r>
      <w:r>
        <w:t xml:space="preserve"> </w:t>
      </w:r>
      <w:r>
        <w:t xml:space="preserve">(Arfi et al., 2021)</w:t>
      </w:r>
      <w:r>
        <w:t xml:space="preserve">.</w:t>
      </w:r>
      <w:r>
        <w:t xml:space="preserve"> </w:t>
      </w:r>
      <w:r>
        <w:t xml:space="preserve">The UTAUT has been criticized for ignoring influencing factors on the organizational and broader societal level</w:t>
      </w:r>
      <w:r>
        <w:t xml:space="preserve"> </w:t>
      </w:r>
      <w:r>
        <w:t xml:space="preserve">(e.g., Shachak et al., 2019)</w:t>
      </w:r>
      <w:r>
        <w:t xml:space="preserve">. To counter this criticism, we conduct sub-group and moderation analyses that account for specific contextual (e.g., organization type, healthcare area) and individual (e.g., age, gender) boundary conditions of the relationship between UTAUT predictors and the intention to use AI-enabled CDSS.</w:t>
      </w:r>
    </w:p>
    <w:bookmarkEnd w:id="21"/>
    <w:bookmarkStart w:id="22" w:name="design-and-methodology"/>
    <w:p>
      <w:pPr>
        <w:pStyle w:val="Heading2"/>
      </w:pPr>
      <w:r>
        <w:t xml:space="preserve">Design and methodology</w:t>
      </w:r>
    </w:p>
    <w:p>
      <w:pPr>
        <w:pStyle w:val="FirstParagraph"/>
      </w:pPr>
      <w:r>
        <w:t xml:space="preserve">We follow the PRISMA guidelines for systematic reviews and meta-analyses</w:t>
      </w:r>
      <w:r>
        <w:t xml:space="preserve"> </w:t>
      </w:r>
      <w:r>
        <w:t xml:space="preserve">(Page et al., 2021)</w:t>
      </w:r>
      <w:r>
        <w:t xml:space="preserve">. First, we search electronic databases (e.g., Web of Science, ERIC, PsycInfo, Academic Search Premier, and ProQuest) using the keywords</w:t>
      </w:r>
      <w:r>
        <w:t xml:space="preserve"> </w:t>
      </w:r>
      <w:r>
        <w:t xml:space="preserve">“</w:t>
      </w:r>
      <w:r>
        <w:t xml:space="preserve">medicine</w:t>
      </w:r>
      <w:r>
        <w:t xml:space="preserve">”</w:t>
      </w:r>
      <w:r>
        <w:t xml:space="preserve">,</w:t>
      </w:r>
      <w:r>
        <w:t xml:space="preserve"> </w:t>
      </w:r>
      <w:r>
        <w:t xml:space="preserve">“</w:t>
      </w:r>
      <w:r>
        <w:t xml:space="preserve">utaut</w:t>
      </w:r>
      <w:r>
        <w:t xml:space="preserve">”</w:t>
      </w:r>
      <w:r>
        <w:t xml:space="preserve">, and related terms. Second, we conduct forward searches in Google Scholar of studies citing</w:t>
      </w:r>
      <w:r>
        <w:t xml:space="preserve"> </w:t>
      </w:r>
      <w:r>
        <w:t xml:space="preserve">Venkatesh et al. (2003)</w:t>
      </w:r>
      <w:r>
        <w:t xml:space="preserve">. Third, we search abstracts of relevant conference proceedings. We exclude articles if they are not published in English, focus on tools that do not fall within the definition of AI-enabled CDSS, do not measure the intention to use or the actual use of AI-enable CDSS, or do not include predictor variables included in the UTAUT research model.</w:t>
      </w:r>
      <w:r>
        <w:t xml:space="preserve"> </w:t>
      </w:r>
      <w:r>
        <w:t xml:space="preserve">We meta-analytically assess the bivariate relationship between UTAUT predictors and outcomes. In addition, we conduct moderation analyses to evaluate the influencing effect of contextual (e.g., clinical context, healthcare domain) and individual (e.g., age, location) variables.</w:t>
      </w:r>
    </w:p>
    <w:bookmarkEnd w:id="22"/>
    <w:bookmarkStart w:id="23" w:name="expected-results"/>
    <w:p>
      <w:pPr>
        <w:pStyle w:val="Heading2"/>
      </w:pPr>
      <w:r>
        <w:t xml:space="preserve">Expected results</w:t>
      </w:r>
    </w:p>
    <w:p>
      <w:pPr>
        <w:pStyle w:val="FirstParagraph"/>
      </w:pPr>
      <w:r>
        <w:t xml:space="preserve">We expect the results to be available by mid-December 2022.</w:t>
      </w:r>
    </w:p>
    <w:bookmarkEnd w:id="23"/>
    <w:bookmarkStart w:id="24" w:name="limitations"/>
    <w:p>
      <w:pPr>
        <w:pStyle w:val="Heading2"/>
      </w:pPr>
      <w:r>
        <w:t xml:space="preserve">Limitations</w:t>
      </w:r>
    </w:p>
    <w:p>
      <w:pPr>
        <w:pStyle w:val="FirstParagraph"/>
      </w:pPr>
      <w:r>
        <w:t xml:space="preserve">The current meta-analysis focuses on the individual attitude towards AI-enabled CDSS. Other theoretical frameworks, such as the framework of Nonadoption, Abandonment, and Challenges to the Scale-Up, Spread, and Sustainability (NASSS) of health and care technologies</w:t>
      </w:r>
      <w:r>
        <w:t xml:space="preserve"> </w:t>
      </w:r>
      <w:r>
        <w:t xml:space="preserve">(Greenhalgh et al., 2017)</w:t>
      </w:r>
      <w:r>
        <w:t xml:space="preserve"> </w:t>
      </w:r>
      <w:r>
        <w:t xml:space="preserve">may be helpful in understanding influencing factors embedded in the broader political, regulatory, and sociocultural system</w:t>
      </w:r>
      <w:r>
        <w:t xml:space="preserve"> </w:t>
      </w:r>
      <w:r>
        <w:t xml:space="preserve">(Shaw et al., 2019)</w:t>
      </w:r>
      <w:r>
        <w:t xml:space="preserve">.</w:t>
      </w:r>
      <w:r>
        <w:t xml:space="preserve"> </w:t>
      </w:r>
      <w:r>
        <w:t xml:space="preserve">In addition, we expect most of the studies included in the meta-analysis to use self-report measurements, possibly increasing the risk of common method bias</w:t>
      </w:r>
      <w:r>
        <w:t xml:space="preserve"> </w:t>
      </w:r>
      <w:r>
        <w:t xml:space="preserve">(Podsakoff et al., 2003)</w:t>
      </w:r>
      <w:r>
        <w:t xml:space="preserve">.</w:t>
      </w:r>
    </w:p>
    <w:bookmarkEnd w:id="24"/>
    <w:bookmarkStart w:id="25" w:name="conclusions"/>
    <w:p>
      <w:pPr>
        <w:pStyle w:val="Heading2"/>
      </w:pPr>
      <w:r>
        <w:t xml:space="preserve">Conclusions</w:t>
      </w:r>
    </w:p>
    <w:p>
      <w:pPr>
        <w:pStyle w:val="FirstParagraph"/>
      </w:pPr>
      <w:r>
        <w:t xml:space="preserve">By applying the UTAUT to the context of AI-enabled CDSS and considering individual and contextual boundary conditions, we counter some of the criticism regarding the overly simplistic approach of UTAUT research. A meta-analytic approach allows us to rigorously examine the value of applying the UTAUT to the context of AI-enabled CDSS and suggesting empirically-based modifications and extensions to the existing framework. The insight may be used in educational programs that aim at easing the adoption of AI tools, thus potentially increasing healthcare practitioner effectiveness and efficiency.</w:t>
      </w:r>
    </w:p>
    <w:bookmarkEnd w:id="25"/>
    <w:bookmarkStart w:id="26" w:name="relevance-to-the-congress-theme"/>
    <w:p>
      <w:pPr>
        <w:pStyle w:val="Heading2"/>
      </w:pPr>
      <w:r>
        <w:t xml:space="preserve">Relevance to the congress theme</w:t>
      </w:r>
    </w:p>
    <w:p>
      <w:pPr>
        <w:pStyle w:val="FirstParagraph"/>
      </w:pPr>
      <w:r>
        <w:t xml:space="preserve">The future is now. The current meta-analysis contributes to acquiring urgently needed competencies among healthcare practitioners.</w:t>
      </w:r>
    </w:p>
    <w:p>
      <w:r>
        <w:br w:type="page"/>
      </w:r>
    </w:p>
    <w:bookmarkEnd w:id="26"/>
    <w:bookmarkEnd w:id="27"/>
    <w:bookmarkStart w:id="54" w:name="references"/>
    <w:p>
      <w:pPr>
        <w:pStyle w:val="Heading1"/>
      </w:pPr>
      <w:r>
        <w:t xml:space="preserve">References</w:t>
      </w:r>
    </w:p>
    <w:bookmarkStart w:id="53" w:name="refs"/>
    <w:bookmarkStart w:id="29" w:name="ref-arfi_etal21"/>
    <w:p>
      <w:pPr>
        <w:pStyle w:val="Bibliography"/>
      </w:pPr>
      <w:r>
        <w:t xml:space="preserve">Arfi, W. B., Nasr, I. B., Kondrateva, G., &amp; Hikkerova, L. (2021). The role of trust in intention to use the</w:t>
      </w:r>
      <w:r>
        <w:t xml:space="preserve"> </w:t>
      </w:r>
      <w:r>
        <w:t xml:space="preserve">IoT</w:t>
      </w:r>
      <w:r>
        <w:t xml:space="preserve"> </w:t>
      </w:r>
      <w:r>
        <w:t xml:space="preserve">in</w:t>
      </w:r>
      <w:r>
        <w:t xml:space="preserve"> </w:t>
      </w:r>
      <w:r>
        <w:t xml:space="preserve">eHealth</w:t>
      </w:r>
      <w:r>
        <w:t xml:space="preserve">:</w:t>
      </w:r>
      <w:r>
        <w:t xml:space="preserve"> </w:t>
      </w:r>
      <w:r>
        <w:t xml:space="preserve">Application</w:t>
      </w:r>
      <w:r>
        <w:t xml:space="preserve"> </w:t>
      </w:r>
      <w:r>
        <w:t xml:space="preserve">of the modified</w:t>
      </w:r>
      <w:r>
        <w:t xml:space="preserve"> </w:t>
      </w:r>
      <w:r>
        <w:t xml:space="preserve">UTAUT</w:t>
      </w:r>
      <w:r>
        <w:t xml:space="preserve"> </w:t>
      </w:r>
      <w:r>
        <w:t xml:space="preserve">in a consumer context.</w:t>
      </w:r>
      <w:r>
        <w:t xml:space="preserve"> </w:t>
      </w:r>
      <w:r>
        <w:rPr>
          <w:iCs/>
          <w:i/>
        </w:rPr>
        <w:t xml:space="preserve">Technological Forecasting and Social Change</w:t>
      </w:r>
      <w:r>
        <w:t xml:space="preserve">,</w:t>
      </w:r>
      <w:r>
        <w:t xml:space="preserve"> </w:t>
      </w:r>
      <w:r>
        <w:rPr>
          <w:iCs/>
          <w:i/>
        </w:rPr>
        <w:t xml:space="preserve">167</w:t>
      </w:r>
      <w:r>
        <w:t xml:space="preserve">, 120688.</w:t>
      </w:r>
      <w:r>
        <w:t xml:space="preserve"> </w:t>
      </w:r>
      <w:hyperlink r:id="rId28">
        <w:r>
          <w:rPr>
            <w:rStyle w:val="Hyperlink"/>
          </w:rPr>
          <w:t xml:space="preserve">https://doi.org/10.1016/j.techfore.2021.120688</w:t>
        </w:r>
      </w:hyperlink>
    </w:p>
    <w:bookmarkEnd w:id="29"/>
    <w:bookmarkStart w:id="31" w:name="ref-davenport_kalakota19"/>
    <w:p>
      <w:pPr>
        <w:pStyle w:val="Bibliography"/>
      </w:pPr>
      <w:r>
        <w:t xml:space="preserve">Davenport, T., &amp; Kalakota, R. (2019). The potential for artificial intelligence in healthcare.</w:t>
      </w:r>
      <w:r>
        <w:t xml:space="preserve"> </w:t>
      </w:r>
      <w:r>
        <w:rPr>
          <w:iCs/>
          <w:i/>
        </w:rPr>
        <w:t xml:space="preserve">Future Healthcare Journal</w:t>
      </w:r>
      <w:r>
        <w:t xml:space="preserve">,</w:t>
      </w:r>
      <w:r>
        <w:t xml:space="preserve"> </w:t>
      </w:r>
      <w:r>
        <w:rPr>
          <w:iCs/>
          <w:i/>
        </w:rPr>
        <w:t xml:space="preserve">6</w:t>
      </w:r>
      <w:r>
        <w:t xml:space="preserve">(2), 94–98.</w:t>
      </w:r>
      <w:r>
        <w:t xml:space="preserve"> </w:t>
      </w:r>
      <w:hyperlink r:id="rId30">
        <w:r>
          <w:rPr>
            <w:rStyle w:val="Hyperlink"/>
          </w:rPr>
          <w:t xml:space="preserve">https://doi.org/10.7861/futurehosp.6-2-94</w:t>
        </w:r>
      </w:hyperlink>
    </w:p>
    <w:bookmarkEnd w:id="31"/>
    <w:bookmarkStart w:id="33" w:name="ref-fan_etal20"/>
    <w:p>
      <w:pPr>
        <w:pStyle w:val="Bibliography"/>
      </w:pPr>
      <w:r>
        <w:t xml:space="preserve">Fan, W., Liu, J., Zhu, S., &amp; Pardalos, P. M. (2020). Investigating the impacting factors for the healthcare professionals to adopt artificial intelligence-based medical diagnosis support system (</w:t>
      </w:r>
      <w:r>
        <w:t xml:space="preserve">AIMDSS</w:t>
      </w:r>
      <w:r>
        <w:t xml:space="preserve">).</w:t>
      </w:r>
      <w:r>
        <w:t xml:space="preserve"> </w:t>
      </w:r>
      <w:r>
        <w:rPr>
          <w:iCs/>
          <w:i/>
        </w:rPr>
        <w:t xml:space="preserve">Annals of Operations Research</w:t>
      </w:r>
      <w:r>
        <w:t xml:space="preserve">,</w:t>
      </w:r>
      <w:r>
        <w:t xml:space="preserve"> </w:t>
      </w:r>
      <w:r>
        <w:rPr>
          <w:iCs/>
          <w:i/>
        </w:rPr>
        <w:t xml:space="preserve">294</w:t>
      </w:r>
      <w:r>
        <w:t xml:space="preserve">(1), 567–592.</w:t>
      </w:r>
      <w:r>
        <w:t xml:space="preserve"> </w:t>
      </w:r>
      <w:hyperlink r:id="rId32">
        <w:r>
          <w:rPr>
            <w:rStyle w:val="Hyperlink"/>
          </w:rPr>
          <w:t xml:space="preserve">https://doi.org/10.1007/s10479-018-2818-y</w:t>
        </w:r>
      </w:hyperlink>
    </w:p>
    <w:bookmarkEnd w:id="33"/>
    <w:bookmarkStart w:id="35" w:name="ref-greenhalgh_etal17"/>
    <w:p>
      <w:pPr>
        <w:pStyle w:val="Bibliography"/>
      </w:pPr>
      <w:r>
        <w:t xml:space="preserve">Greenhalgh, T., Wherton, J., Papoutsi, C., Lynch, J., Hughes, G., A’Court, C., Hinder, S., Fahy, N., Procter, R., &amp; Shaw, S. (2017). Beyond</w:t>
      </w:r>
      <w:r>
        <w:t xml:space="preserve"> </w:t>
      </w:r>
      <w:r>
        <w:t xml:space="preserve">Adoption</w:t>
      </w:r>
      <w:r>
        <w:t xml:space="preserve">:</w:t>
      </w:r>
      <w:r>
        <w:t xml:space="preserve"> </w:t>
      </w:r>
      <w:r>
        <w:t xml:space="preserve">A New Framework</w:t>
      </w:r>
      <w:r>
        <w:t xml:space="preserve"> </w:t>
      </w:r>
      <w:r>
        <w:t xml:space="preserve">for</w:t>
      </w:r>
      <w:r>
        <w:t xml:space="preserve"> </w:t>
      </w:r>
      <w:r>
        <w:t xml:space="preserve">Theorizing</w:t>
      </w:r>
      <w:r>
        <w:t xml:space="preserve"> </w:t>
      </w:r>
      <w:r>
        <w:t xml:space="preserve">and</w:t>
      </w:r>
      <w:r>
        <w:t xml:space="preserve"> </w:t>
      </w:r>
      <w:r>
        <w:t xml:space="preserve">Evaluating Nonadoption</w:t>
      </w:r>
      <w:r>
        <w:t xml:space="preserve">,</w:t>
      </w:r>
      <w:r>
        <w:t xml:space="preserve"> </w:t>
      </w:r>
      <w:r>
        <w:t xml:space="preserve">Abandonment</w:t>
      </w:r>
      <w:r>
        <w:t xml:space="preserve">, and</w:t>
      </w:r>
      <w:r>
        <w:t xml:space="preserve"> </w:t>
      </w:r>
      <w:r>
        <w:t xml:space="preserve">Challenges</w:t>
      </w:r>
      <w:r>
        <w:t xml:space="preserve"> </w:t>
      </w:r>
      <w:r>
        <w:t xml:space="preserve">to the</w:t>
      </w:r>
      <w:r>
        <w:t xml:space="preserve"> </w:t>
      </w:r>
      <w:r>
        <w:t xml:space="preserve">Scale-Up</w:t>
      </w:r>
      <w:r>
        <w:t xml:space="preserve">,</w:t>
      </w:r>
      <w:r>
        <w:t xml:space="preserve"> </w:t>
      </w:r>
      <w:r>
        <w:t xml:space="preserve">Spread</w:t>
      </w:r>
      <w:r>
        <w:t xml:space="preserve">, and</w:t>
      </w:r>
      <w:r>
        <w:t xml:space="preserve"> </w:t>
      </w:r>
      <w:r>
        <w:t xml:space="preserve">Sustainability</w:t>
      </w:r>
      <w:r>
        <w:t xml:space="preserve"> </w:t>
      </w:r>
      <w:r>
        <w:t xml:space="preserve">of</w:t>
      </w:r>
      <w:r>
        <w:t xml:space="preserve"> </w:t>
      </w:r>
      <w:r>
        <w:t xml:space="preserve">Health</w:t>
      </w:r>
      <w:r>
        <w:t xml:space="preserve"> </w:t>
      </w:r>
      <w:r>
        <w:t xml:space="preserve">and</w:t>
      </w:r>
      <w:r>
        <w:t xml:space="preserve"> </w:t>
      </w:r>
      <w:r>
        <w:t xml:space="preserve">Care Technologies</w:t>
      </w:r>
      <w:r>
        <w:t xml:space="preserve">.</w:t>
      </w:r>
      <w:r>
        <w:t xml:space="preserve"> </w:t>
      </w:r>
      <w:r>
        <w:rPr>
          <w:iCs/>
          <w:i/>
        </w:rPr>
        <w:t xml:space="preserve">Journal of Medical Internet Research</w:t>
      </w:r>
      <w:r>
        <w:t xml:space="preserve">,</w:t>
      </w:r>
      <w:r>
        <w:t xml:space="preserve"> </w:t>
      </w:r>
      <w:r>
        <w:rPr>
          <w:iCs/>
          <w:i/>
        </w:rPr>
        <w:t xml:space="preserve">19</w:t>
      </w:r>
      <w:r>
        <w:t xml:space="preserve">(11), e8775.</w:t>
      </w:r>
      <w:r>
        <w:t xml:space="preserve"> </w:t>
      </w:r>
      <w:hyperlink r:id="rId34">
        <w:r>
          <w:rPr>
            <w:rStyle w:val="Hyperlink"/>
          </w:rPr>
          <w:t xml:space="preserve">https://doi.org/10.2196/jmir.8775</w:t>
        </w:r>
      </w:hyperlink>
    </w:p>
    <w:bookmarkEnd w:id="35"/>
    <w:bookmarkStart w:id="37" w:name="ref-page_etal21"/>
    <w:p>
      <w:pPr>
        <w:pStyle w:val="Bibliography"/>
      </w:pPr>
      <w:r>
        <w:t xml:space="preserve">Page, M. J., McKenzie, J. E., Bossuyt, P. M., Boutron, I., Hoffmann, T. C., Mulrow, C. D., Shamseer, L., Tetzlaff, J. M., Akl, E. A., Brennan, S. E., Chou, R., Glanville, J., Grimshaw, J. M., Hróbjartsson, A., Lalu, M. M., Li, T., Loder, E. W., Mayo-Wilson, E., McDonald, S., … Moher, D. (2021). The</w:t>
      </w:r>
      <w:r>
        <w:t xml:space="preserve"> </w:t>
      </w:r>
      <w:r>
        <w:t xml:space="preserve">PRISMA</w:t>
      </w:r>
      <w:r>
        <w:t xml:space="preserve"> </w:t>
      </w:r>
      <w:r>
        <w:t xml:space="preserve">2020 statement: An updated guideline for reporting systematic reviews.</w:t>
      </w:r>
      <w:r>
        <w:t xml:space="preserve"> </w:t>
      </w:r>
      <w:r>
        <w:rPr>
          <w:iCs/>
          <w:i/>
        </w:rPr>
        <w:t xml:space="preserve">BMJ</w:t>
      </w:r>
      <w:r>
        <w:t xml:space="preserve">, n71.</w:t>
      </w:r>
      <w:r>
        <w:t xml:space="preserve"> </w:t>
      </w:r>
      <w:hyperlink r:id="rId36">
        <w:r>
          <w:rPr>
            <w:rStyle w:val="Hyperlink"/>
          </w:rPr>
          <w:t xml:space="preserve">https://doi.org/10.1136/bmj.n71</w:t>
        </w:r>
      </w:hyperlink>
    </w:p>
    <w:bookmarkEnd w:id="37"/>
    <w:bookmarkStart w:id="39" w:name="ref-podsakoff_etal03"/>
    <w:p>
      <w:pPr>
        <w:pStyle w:val="Bibliography"/>
      </w:pPr>
      <w:r>
        <w:t xml:space="preserve">Podsakoff, P. M., MacKenzie, S. B., Lee, J.-Y., &amp; Podsakoff, N. P. (2003). Common method biases in behavioral research:</w:t>
      </w:r>
      <w:r>
        <w:t xml:space="preserve"> </w:t>
      </w:r>
      <w:r>
        <w:t xml:space="preserve">A</w:t>
      </w:r>
      <w:r>
        <w:t xml:space="preserve"> </w:t>
      </w:r>
      <w:r>
        <w:t xml:space="preserve">critical review of the literature and recommended remedies.</w:t>
      </w:r>
      <w:r>
        <w:t xml:space="preserve"> </w:t>
      </w:r>
      <w:r>
        <w:rPr>
          <w:iCs/>
          <w:i/>
        </w:rPr>
        <w:t xml:space="preserve">Journal of Applied Psychology</w:t>
      </w:r>
      <w:r>
        <w:t xml:space="preserve">,</w:t>
      </w:r>
      <w:r>
        <w:t xml:space="preserve"> </w:t>
      </w:r>
      <w:r>
        <w:rPr>
          <w:iCs/>
          <w:i/>
        </w:rPr>
        <w:t xml:space="preserve">88</w:t>
      </w:r>
      <w:r>
        <w:t xml:space="preserve">, 879–903.</w:t>
      </w:r>
      <w:r>
        <w:t xml:space="preserve"> </w:t>
      </w:r>
      <w:hyperlink r:id="rId38">
        <w:r>
          <w:rPr>
            <w:rStyle w:val="Hyperlink"/>
          </w:rPr>
          <w:t xml:space="preserve">https://doi.org/10.1037/0021-9010.88.5.879</w:t>
        </w:r>
      </w:hyperlink>
    </w:p>
    <w:bookmarkEnd w:id="39"/>
    <w:bookmarkStart w:id="41" w:name="ref-sendak_etal20"/>
    <w:p>
      <w:pPr>
        <w:pStyle w:val="Bibliography"/>
      </w:pPr>
      <w:r>
        <w:t xml:space="preserve">Sendak, M. P., D’Arcy, J., Kashyap, S., Gao, M., Nichols, M., Corey, K., Ratliff, W., &amp; Balu, S. (2020). A</w:t>
      </w:r>
      <w:r>
        <w:t xml:space="preserve"> </w:t>
      </w:r>
      <w:r>
        <w:t xml:space="preserve">Path</w:t>
      </w:r>
      <w:r>
        <w:t xml:space="preserve"> </w:t>
      </w:r>
      <w:r>
        <w:t xml:space="preserve">for</w:t>
      </w:r>
      <w:r>
        <w:t xml:space="preserve"> </w:t>
      </w:r>
      <w:r>
        <w:t xml:space="preserve">Translation</w:t>
      </w:r>
      <w:r>
        <w:t xml:space="preserve"> </w:t>
      </w:r>
      <w:r>
        <w:t xml:space="preserve">of</w:t>
      </w:r>
      <w:r>
        <w:t xml:space="preserve"> </w:t>
      </w:r>
      <w:r>
        <w:t xml:space="preserve">Machine Learning Products</w:t>
      </w:r>
      <w:r>
        <w:t xml:space="preserve"> </w:t>
      </w:r>
      <w:r>
        <w:t xml:space="preserve">into</w:t>
      </w:r>
      <w:r>
        <w:t xml:space="preserve"> </w:t>
      </w:r>
      <w:r>
        <w:t xml:space="preserve">Healthcare Delivery</w:t>
      </w:r>
      <w:r>
        <w:t xml:space="preserve">.</w:t>
      </w:r>
      <w:r>
        <w:t xml:space="preserve"> </w:t>
      </w:r>
      <w:r>
        <w:rPr>
          <w:iCs/>
          <w:i/>
        </w:rPr>
        <w:t xml:space="preserve">EMJ Innovations</w:t>
      </w:r>
      <w:r>
        <w:t xml:space="preserve">.</w:t>
      </w:r>
      <w:r>
        <w:t xml:space="preserve"> </w:t>
      </w:r>
      <w:hyperlink r:id="rId40">
        <w:r>
          <w:rPr>
            <w:rStyle w:val="Hyperlink"/>
          </w:rPr>
          <w:t xml:space="preserve">https://doi.org/10.33590/emjinnov/19-00172</w:t>
        </w:r>
      </w:hyperlink>
    </w:p>
    <w:bookmarkEnd w:id="41"/>
    <w:bookmarkStart w:id="43" w:name="ref-shachak_etal19"/>
    <w:p>
      <w:pPr>
        <w:pStyle w:val="Bibliography"/>
      </w:pPr>
      <w:r>
        <w:t xml:space="preserve">Shachak, A., Kuziemsky, C., &amp; Petersen, C. (2019). Beyond</w:t>
      </w:r>
      <w:r>
        <w:t xml:space="preserve"> </w:t>
      </w:r>
      <w:r>
        <w:t xml:space="preserve">TAM</w:t>
      </w:r>
      <w:r>
        <w:t xml:space="preserve"> </w:t>
      </w:r>
      <w:r>
        <w:t xml:space="preserve">and</w:t>
      </w:r>
      <w:r>
        <w:t xml:space="preserve"> </w:t>
      </w:r>
      <w:r>
        <w:t xml:space="preserve">UTAUT</w:t>
      </w:r>
      <w:r>
        <w:t xml:space="preserve">:</w:t>
      </w:r>
      <w:r>
        <w:t xml:space="preserve"> </w:t>
      </w:r>
      <w:r>
        <w:t xml:space="preserve">Future</w:t>
      </w:r>
      <w:r>
        <w:t xml:space="preserve"> </w:t>
      </w:r>
      <w:r>
        <w:t xml:space="preserve">directions for</w:t>
      </w:r>
      <w:r>
        <w:t xml:space="preserve"> </w:t>
      </w:r>
      <w:r>
        <w:t xml:space="preserve">HIT</w:t>
      </w:r>
      <w:r>
        <w:t xml:space="preserve"> </w:t>
      </w:r>
      <w:r>
        <w:t xml:space="preserve">implementation research.</w:t>
      </w:r>
      <w:r>
        <w:t xml:space="preserve"> </w:t>
      </w:r>
      <w:r>
        <w:rPr>
          <w:iCs/>
          <w:i/>
        </w:rPr>
        <w:t xml:space="preserve">Journal of Biomedical Informatics</w:t>
      </w:r>
      <w:r>
        <w:t xml:space="preserve">,</w:t>
      </w:r>
      <w:r>
        <w:t xml:space="preserve"> </w:t>
      </w:r>
      <w:r>
        <w:rPr>
          <w:iCs/>
          <w:i/>
        </w:rPr>
        <w:t xml:space="preserve">100</w:t>
      </w:r>
      <w:r>
        <w:t xml:space="preserve">, 103315.</w:t>
      </w:r>
      <w:r>
        <w:t xml:space="preserve"> </w:t>
      </w:r>
      <w:hyperlink r:id="rId42">
        <w:r>
          <w:rPr>
            <w:rStyle w:val="Hyperlink"/>
          </w:rPr>
          <w:t xml:space="preserve">https://doi.org/10.1016/j.jbi.2019.103315</w:t>
        </w:r>
      </w:hyperlink>
    </w:p>
    <w:bookmarkEnd w:id="43"/>
    <w:bookmarkStart w:id="45" w:name="ref-shaw_etal19"/>
    <w:p>
      <w:pPr>
        <w:pStyle w:val="Bibliography"/>
      </w:pPr>
      <w:r>
        <w:t xml:space="preserve">Shaw, J., Rudzicz, F., Jamieson, T., &amp; Goldfarb, A. (2019). Artificial</w:t>
      </w:r>
      <w:r>
        <w:t xml:space="preserve"> </w:t>
      </w:r>
      <w:r>
        <w:t xml:space="preserve">Intelligence</w:t>
      </w:r>
      <w:r>
        <w:t xml:space="preserve"> </w:t>
      </w:r>
      <w:r>
        <w:t xml:space="preserve">and the</w:t>
      </w:r>
      <w:r>
        <w:t xml:space="preserve"> </w:t>
      </w:r>
      <w:r>
        <w:t xml:space="preserve">Implementation Challenge</w:t>
      </w:r>
      <w:r>
        <w:t xml:space="preserve">.</w:t>
      </w:r>
      <w:r>
        <w:t xml:space="preserve"> </w:t>
      </w:r>
      <w:r>
        <w:rPr>
          <w:iCs/>
          <w:i/>
        </w:rPr>
        <w:t xml:space="preserve">Journal of Medical Internet Research</w:t>
      </w:r>
      <w:r>
        <w:t xml:space="preserve">,</w:t>
      </w:r>
      <w:r>
        <w:t xml:space="preserve"> </w:t>
      </w:r>
      <w:r>
        <w:rPr>
          <w:iCs/>
          <w:i/>
        </w:rPr>
        <w:t xml:space="preserve">21</w:t>
      </w:r>
      <w:r>
        <w:t xml:space="preserve">(7), e13659.</w:t>
      </w:r>
      <w:r>
        <w:t xml:space="preserve"> </w:t>
      </w:r>
      <w:hyperlink r:id="rId44">
        <w:r>
          <w:rPr>
            <w:rStyle w:val="Hyperlink"/>
          </w:rPr>
          <w:t xml:space="preserve">https://doi.org/10.2196/13659</w:t>
        </w:r>
      </w:hyperlink>
    </w:p>
    <w:bookmarkEnd w:id="45"/>
    <w:bookmarkStart w:id="47" w:name="ref-tamori_etal22"/>
    <w:p>
      <w:pPr>
        <w:pStyle w:val="Bibliography"/>
      </w:pPr>
      <w:r>
        <w:t xml:space="preserve">Tamori, H., Yamashina, H., Mukai, M., Morii, Y., Suzuki, T., &amp; Ogasawara, K. (2022). Acceptance of the</w:t>
      </w:r>
      <w:r>
        <w:t xml:space="preserve"> </w:t>
      </w:r>
      <w:r>
        <w:t xml:space="preserve">Use</w:t>
      </w:r>
      <w:r>
        <w:t xml:space="preserve"> </w:t>
      </w:r>
      <w:r>
        <w:t xml:space="preserve">of</w:t>
      </w:r>
      <w:r>
        <w:t xml:space="preserve"> </w:t>
      </w:r>
      <w:r>
        <w:t xml:space="preserve">Artificial Intelligence</w:t>
      </w:r>
      <w:r>
        <w:t xml:space="preserve"> </w:t>
      </w:r>
      <w:r>
        <w:t xml:space="preserve">in</w:t>
      </w:r>
      <w:r>
        <w:t xml:space="preserve"> </w:t>
      </w:r>
      <w:r>
        <w:t xml:space="preserve">Medicine Among Japan</w:t>
      </w:r>
      <w:r>
        <w:t xml:space="preserve">’s</w:t>
      </w:r>
      <w:r>
        <w:t xml:space="preserve"> </w:t>
      </w:r>
      <w:r>
        <w:t xml:space="preserve">Doctors</w:t>
      </w:r>
      <w:r>
        <w:t xml:space="preserve"> </w:t>
      </w:r>
      <w:r>
        <w:t xml:space="preserve">and the</w:t>
      </w:r>
      <w:r>
        <w:t xml:space="preserve"> </w:t>
      </w:r>
      <w:r>
        <w:t xml:space="preserve">Public</w:t>
      </w:r>
      <w:r>
        <w:t xml:space="preserve">:</w:t>
      </w:r>
      <w:r>
        <w:t xml:space="preserve"> </w:t>
      </w:r>
      <w:r>
        <w:t xml:space="preserve">A Questionnaire Survey</w:t>
      </w:r>
      <w:r>
        <w:t xml:space="preserve">.</w:t>
      </w:r>
      <w:r>
        <w:t xml:space="preserve"> </w:t>
      </w:r>
      <w:r>
        <w:rPr>
          <w:iCs/>
          <w:i/>
        </w:rPr>
        <w:t xml:space="preserve">JMIR Human Factors</w:t>
      </w:r>
      <w:r>
        <w:t xml:space="preserve">,</w:t>
      </w:r>
      <w:r>
        <w:t xml:space="preserve"> </w:t>
      </w:r>
      <w:r>
        <w:rPr>
          <w:iCs/>
          <w:i/>
        </w:rPr>
        <w:t xml:space="preserve">9</w:t>
      </w:r>
      <w:r>
        <w:t xml:space="preserve">(1), e24680.</w:t>
      </w:r>
      <w:r>
        <w:t xml:space="preserve"> </w:t>
      </w:r>
      <w:hyperlink r:id="rId46">
        <w:r>
          <w:rPr>
            <w:rStyle w:val="Hyperlink"/>
          </w:rPr>
          <w:t xml:space="preserve">https://doi.org/10.2196/24680</w:t>
        </w:r>
      </w:hyperlink>
    </w:p>
    <w:bookmarkEnd w:id="47"/>
    <w:bookmarkStart w:id="49" w:name="ref-vanleeuwen_etal21"/>
    <w:p>
      <w:pPr>
        <w:pStyle w:val="Bibliography"/>
      </w:pPr>
      <w:r>
        <w:t xml:space="preserve">van Leeuwen, K. G., Schalekamp, S., Rutten, M. J. C. M., van Ginneken, B., &amp; de Rooij, M. (2021). Artificial intelligence in radiology: 100 commercially available products and their scientific evidence.</w:t>
      </w:r>
      <w:r>
        <w:t xml:space="preserve"> </w:t>
      </w:r>
      <w:r>
        <w:rPr>
          <w:iCs/>
          <w:i/>
        </w:rPr>
        <w:t xml:space="preserve">European Radiology</w:t>
      </w:r>
      <w:r>
        <w:t xml:space="preserve">,</w:t>
      </w:r>
      <w:r>
        <w:t xml:space="preserve"> </w:t>
      </w:r>
      <w:r>
        <w:rPr>
          <w:iCs/>
          <w:i/>
        </w:rPr>
        <w:t xml:space="preserve">31</w:t>
      </w:r>
      <w:r>
        <w:t xml:space="preserve">(6), 3797–3804.</w:t>
      </w:r>
      <w:r>
        <w:t xml:space="preserve"> </w:t>
      </w:r>
      <w:hyperlink r:id="rId48">
        <w:r>
          <w:rPr>
            <w:rStyle w:val="Hyperlink"/>
          </w:rPr>
          <w:t xml:space="preserve">https://doi.org/10.1007/s00330-021-07892-z</w:t>
        </w:r>
      </w:hyperlink>
    </w:p>
    <w:bookmarkEnd w:id="49"/>
    <w:bookmarkStart w:id="51" w:name="ref-venkatesh_etal03"/>
    <w:p>
      <w:pPr>
        <w:pStyle w:val="Bibliography"/>
      </w:pPr>
      <w:r>
        <w:t xml:space="preserve">Venkatesh, V., Morris, M. G., Davis, G. B., &amp; Davis, F. D. (2003). User</w:t>
      </w:r>
      <w:r>
        <w:t xml:space="preserve"> </w:t>
      </w:r>
      <w:r>
        <w:t xml:space="preserve">Acceptance</w:t>
      </w:r>
      <w:r>
        <w:t xml:space="preserve"> </w:t>
      </w:r>
      <w:r>
        <w:t xml:space="preserve">of</w:t>
      </w:r>
      <w:r>
        <w:t xml:space="preserve"> </w:t>
      </w:r>
      <w:r>
        <w:t xml:space="preserve">Information Technology</w:t>
      </w:r>
      <w:r>
        <w:t xml:space="preserve">:</w:t>
      </w:r>
      <w:r>
        <w:t xml:space="preserve"> </w:t>
      </w:r>
      <w:r>
        <w:t xml:space="preserve">Toward</w:t>
      </w:r>
      <w:r>
        <w:t xml:space="preserve"> </w:t>
      </w:r>
      <w:r>
        <w:t xml:space="preserve">a</w:t>
      </w:r>
      <w:r>
        <w:t xml:space="preserve"> </w:t>
      </w:r>
      <w:r>
        <w:t xml:space="preserve">Unified View</w:t>
      </w:r>
      <w:r>
        <w:t xml:space="preserve">.</w:t>
      </w:r>
      <w:r>
        <w:t xml:space="preserve"> </w:t>
      </w:r>
      <w:r>
        <w:rPr>
          <w:iCs/>
          <w:i/>
        </w:rPr>
        <w:t xml:space="preserve">MIS Quarterly</w:t>
      </w:r>
      <w:r>
        <w:t xml:space="preserve">,</w:t>
      </w:r>
      <w:r>
        <w:t xml:space="preserve"> </w:t>
      </w:r>
      <w:r>
        <w:rPr>
          <w:iCs/>
          <w:i/>
        </w:rPr>
        <w:t xml:space="preserve">27</w:t>
      </w:r>
      <w:r>
        <w:t xml:space="preserve">(3), 425–478.</w:t>
      </w:r>
      <w:r>
        <w:t xml:space="preserve"> </w:t>
      </w:r>
      <w:hyperlink r:id="rId50">
        <w:r>
          <w:rPr>
            <w:rStyle w:val="Hyperlink"/>
          </w:rPr>
          <w:t xml:space="preserve">https://doi.org/10.2307/30036540</w:t>
        </w:r>
      </w:hyperlink>
    </w:p>
    <w:bookmarkEnd w:id="51"/>
    <w:bookmarkStart w:id="52" w:name="ref-venkatesh_etal16"/>
    <w:p>
      <w:pPr>
        <w:pStyle w:val="Bibliography"/>
      </w:pPr>
      <w:r>
        <w:t xml:space="preserve">Venkatesh, V., Thong, J. Y. L., &amp; Xu, X. (2016).</w:t>
      </w:r>
      <w:r>
        <w:t xml:space="preserve"> </w:t>
      </w:r>
      <w:r>
        <w:rPr>
          <w:iCs/>
          <w:i/>
        </w:rPr>
        <w:t xml:space="preserve">Unified</w:t>
      </w:r>
      <w:r>
        <w:rPr>
          <w:iCs/>
          <w:i/>
        </w:rPr>
        <w:t xml:space="preserve"> </w:t>
      </w:r>
      <w:r>
        <w:rPr>
          <w:iCs/>
          <w:i/>
        </w:rPr>
        <w:t xml:space="preserve">Theory</w:t>
      </w:r>
      <w:r>
        <w:rPr>
          <w:iCs/>
          <w:i/>
        </w:rPr>
        <w:t xml:space="preserve"> </w:t>
      </w:r>
      <w:r>
        <w:rPr>
          <w:iCs/>
          <w:i/>
        </w:rPr>
        <w:t xml:space="preserve">of</w:t>
      </w:r>
      <w:r>
        <w:rPr>
          <w:iCs/>
          <w:i/>
        </w:rPr>
        <w:t xml:space="preserve"> </w:t>
      </w:r>
      <w:r>
        <w:rPr>
          <w:iCs/>
          <w:i/>
        </w:rPr>
        <w:t xml:space="preserve">Acceptance</w:t>
      </w:r>
      <w:r>
        <w:rPr>
          <w:iCs/>
          <w:i/>
        </w:rPr>
        <w:t xml:space="preserve"> </w:t>
      </w:r>
      <w:r>
        <w:rPr>
          <w:iCs/>
          <w:i/>
        </w:rPr>
        <w:t xml:space="preserve">and</w:t>
      </w:r>
      <w:r>
        <w:rPr>
          <w:iCs/>
          <w:i/>
        </w:rPr>
        <w:t xml:space="preserve"> </w:t>
      </w:r>
      <w:r>
        <w:rPr>
          <w:iCs/>
          <w:i/>
        </w:rPr>
        <w:t xml:space="preserve">Use</w:t>
      </w:r>
      <w:r>
        <w:rPr>
          <w:iCs/>
          <w:i/>
        </w:rPr>
        <w:t xml:space="preserve"> </w:t>
      </w:r>
      <w:r>
        <w:rPr>
          <w:iCs/>
          <w:i/>
        </w:rPr>
        <w:t xml:space="preserve">of</w:t>
      </w:r>
      <w:r>
        <w:rPr>
          <w:iCs/>
          <w:i/>
        </w:rPr>
        <w:t xml:space="preserve"> </w:t>
      </w:r>
      <w:r>
        <w:rPr>
          <w:iCs/>
          <w:i/>
        </w:rPr>
        <w:t xml:space="preserve">Technology</w:t>
      </w:r>
      <w:r>
        <w:rPr>
          <w:iCs/>
          <w:i/>
        </w:rPr>
        <w:t xml:space="preserve">:</w:t>
      </w:r>
      <w:r>
        <w:rPr>
          <w:iCs/>
          <w:i/>
        </w:rPr>
        <w:t xml:space="preserve"> </w:t>
      </w:r>
      <w:r>
        <w:rPr>
          <w:iCs/>
          <w:i/>
        </w:rPr>
        <w:t xml:space="preserve">A Synthesis</w:t>
      </w:r>
      <w:r>
        <w:rPr>
          <w:iCs/>
          <w:i/>
        </w:rPr>
        <w:t xml:space="preserve"> </w:t>
      </w:r>
      <w:r>
        <w:rPr>
          <w:iCs/>
          <w:i/>
        </w:rPr>
        <w:t xml:space="preserve">and the</w:t>
      </w:r>
      <w:r>
        <w:rPr>
          <w:iCs/>
          <w:i/>
        </w:rPr>
        <w:t xml:space="preserve"> </w:t>
      </w:r>
      <w:r>
        <w:rPr>
          <w:iCs/>
          <w:i/>
        </w:rPr>
        <w:t xml:space="preserve">Road Ahead</w:t>
      </w:r>
      <w:r>
        <w:t xml:space="preserve"> </w:t>
      </w:r>
      <w:r>
        <w:t xml:space="preserve">({{SSRN Scholarly Paper}} No. 2800121).</w:t>
      </w:r>
    </w:p>
    <w:bookmarkEnd w:id="52"/>
    <w:bookmarkEnd w:id="53"/>
    <w:bookmarkEnd w:id="54"/>
    <w:sectPr w:rsidR="003E5B6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52E072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26827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6632FBE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CAC330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52828E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A90D1C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F82D12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888291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42A0447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545E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71D0A4D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AB3238B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40020681" w:numId="1">
    <w:abstractNumId w:val="10"/>
  </w:num>
  <w:num w16cid:durableId="1823500691" w:numId="2">
    <w:abstractNumId w:val="11"/>
  </w:num>
  <w:num w16cid:durableId="326829551" w:numId="3">
    <w:abstractNumId w:val="11"/>
  </w:num>
  <w:num w16cid:durableId="725033778" w:numId="4">
    <w:abstractNumId w:val="11"/>
  </w:num>
  <w:num w16cid:durableId="434711821" w:numId="5">
    <w:abstractNumId w:val="11"/>
  </w:num>
  <w:num w16cid:durableId="2069569114" w:numId="6">
    <w:abstractNumId w:val="11"/>
  </w:num>
  <w:num w16cid:durableId="1664776140" w:numId="7">
    <w:abstractNumId w:val="11"/>
  </w:num>
  <w:num w16cid:durableId="445078188" w:numId="8">
    <w:abstractNumId w:val="11"/>
  </w:num>
  <w:num w16cid:durableId="1918320836" w:numId="9">
    <w:abstractNumId w:val="11"/>
  </w:num>
  <w:num w16cid:durableId="2019035315" w:numId="10">
    <w:abstractNumId w:val="0"/>
  </w:num>
  <w:num w16cid:durableId="400522865" w:numId="11">
    <w:abstractNumId w:val="1"/>
  </w:num>
  <w:num w16cid:durableId="850414923" w:numId="12">
    <w:abstractNumId w:val="2"/>
  </w:num>
  <w:num w16cid:durableId="1021468701" w:numId="13">
    <w:abstractNumId w:val="3"/>
  </w:num>
  <w:num w16cid:durableId="1806704114" w:numId="14">
    <w:abstractNumId w:val="8"/>
  </w:num>
  <w:num w16cid:durableId="852648049" w:numId="15">
    <w:abstractNumId w:val="4"/>
  </w:num>
  <w:num w16cid:durableId="556746709" w:numId="16">
    <w:abstractNumId w:val="5"/>
  </w:num>
  <w:num w16cid:durableId="1153256918" w:numId="17">
    <w:abstractNumId w:val="6"/>
  </w:num>
  <w:num w16cid:durableId="1401445702" w:numId="18">
    <w:abstractNumId w:val="7"/>
  </w:num>
  <w:num w16cid:durableId="760836244" w:numId="19">
    <w:abstractNumId w:val="9"/>
  </w:num>
  <w:num w16cid:durableId="1454783882" w:numId="20">
    <w:abstractNumId w:val="10"/>
  </w:num>
  <w:num w16cid:durableId="849102366" w:numId="21">
    <w:abstractNumId w:val="11"/>
  </w:num>
  <w:num w16cid:durableId="1589197607" w:numId="22">
    <w:abstractNumId w:val="11"/>
  </w:num>
  <w:num w16cid:durableId="1219587038" w:numId="23">
    <w:abstractNumId w:val="11"/>
  </w:num>
  <w:num w16cid:durableId="1995375051" w:numId="24">
    <w:abstractNumId w:val="11"/>
  </w:num>
  <w:num w16cid:durableId="864028072" w:numId="25">
    <w:abstractNumId w:val="11"/>
  </w:num>
  <w:num w16cid:durableId="2049187065" w:numId="26">
    <w:abstractNumId w:val="11"/>
  </w:num>
  <w:num w16cid:durableId="540827413" w:numId="27">
    <w:abstractNumId w:val="11"/>
  </w:num>
  <w:num w16cid:durableId="1786000525" w:numId="28">
    <w:abstractNumId w:val="11"/>
  </w:num>
  <w:num w16cid:durableId="1466041708" w:numId="29">
    <w:abstractNumId w:val="11"/>
  </w:num>
  <w:num w16cid:durableId="777682266" w:numId="30">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BE0A6A"/>
    <w:pPr>
      <w:keepNext/>
      <w:keepLines/>
      <w:spacing w:after="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BE0A6A"/>
    <w:pPr>
      <w:keepNext/>
      <w:keepLines/>
      <w:spacing w:after="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5E330C"/>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0D56EA"/>
    <w:pPr>
      <w:keepNext/>
      <w:keepLines/>
      <w:spacing w:after="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0D56EA"/>
    <w:pPr>
      <w:keepNext/>
      <w:keepLines/>
      <w:spacing w:after="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E0A6A"/>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BE0A6A"/>
  </w:style>
  <w:style w:customStyle="1" w:styleId="Compact" w:type="paragraph">
    <w:name w:val="Compact"/>
    <w:basedOn w:val="BodyText"/>
    <w:qFormat/>
    <w:pPr>
      <w:spacing w:after="36" w:before="36"/>
    </w:pPr>
  </w:style>
  <w:style w:styleId="Title" w:type="paragraph">
    <w:name w:val="Title"/>
    <w:basedOn w:val="Normal"/>
    <w:next w:val="BodyText"/>
    <w:qFormat/>
    <w:rsid w:val="00BE0A6A"/>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3878"/>
    <w:pPr>
      <w:adjustRightInd w:val="0"/>
      <w:spacing w:after="0"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BE0A6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doi.org/10.1007/s00330-021-07892-z" TargetMode="External" /><Relationship Type="http://schemas.openxmlformats.org/officeDocument/2006/relationships/hyperlink" Id="rId32" Target="https://doi.org/10.1007/s10479-018-2818-y" TargetMode="External" /><Relationship Type="http://schemas.openxmlformats.org/officeDocument/2006/relationships/hyperlink" Id="rId42" Target="https://doi.org/10.1016/j.jbi.2019.103315" TargetMode="External" /><Relationship Type="http://schemas.openxmlformats.org/officeDocument/2006/relationships/hyperlink" Id="rId28" Target="https://doi.org/10.1016/j.techfore.2021.120688" TargetMode="External" /><Relationship Type="http://schemas.openxmlformats.org/officeDocument/2006/relationships/hyperlink" Id="rId38" Target="https://doi.org/10.1037/0021-9010.88.5.879" TargetMode="External" /><Relationship Type="http://schemas.openxmlformats.org/officeDocument/2006/relationships/hyperlink" Id="rId36" Target="https://doi.org/10.1136/bmj.n71" TargetMode="External" /><Relationship Type="http://schemas.openxmlformats.org/officeDocument/2006/relationships/hyperlink" Id="rId44" Target="https://doi.org/10.2196/13659" TargetMode="External" /><Relationship Type="http://schemas.openxmlformats.org/officeDocument/2006/relationships/hyperlink" Id="rId46" Target="https://doi.org/10.2196/24680" TargetMode="External" /><Relationship Type="http://schemas.openxmlformats.org/officeDocument/2006/relationships/hyperlink" Id="rId34" Target="https://doi.org/10.2196/jmir.8775" TargetMode="External" /><Relationship Type="http://schemas.openxmlformats.org/officeDocument/2006/relationships/hyperlink" Id="rId50" Target="https://doi.org/10.2307/30036540" TargetMode="External" /><Relationship Type="http://schemas.openxmlformats.org/officeDocument/2006/relationships/hyperlink" Id="rId40" Target="https://doi.org/10.33590/emjinnov/19-00172" TargetMode="External" /><Relationship Type="http://schemas.openxmlformats.org/officeDocument/2006/relationships/hyperlink" Id="rId30" Target="https://doi.org/10.7861/futurehosp.6-2-94"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07/s00330-021-07892-z" TargetMode="External" /><Relationship Type="http://schemas.openxmlformats.org/officeDocument/2006/relationships/hyperlink" Id="rId32" Target="https://doi.org/10.1007/s10479-018-2818-y" TargetMode="External" /><Relationship Type="http://schemas.openxmlformats.org/officeDocument/2006/relationships/hyperlink" Id="rId42" Target="https://doi.org/10.1016/j.jbi.2019.103315" TargetMode="External" /><Relationship Type="http://schemas.openxmlformats.org/officeDocument/2006/relationships/hyperlink" Id="rId28" Target="https://doi.org/10.1016/j.techfore.2021.120688" TargetMode="External" /><Relationship Type="http://schemas.openxmlformats.org/officeDocument/2006/relationships/hyperlink" Id="rId38" Target="https://doi.org/10.1037/0021-9010.88.5.879" TargetMode="External" /><Relationship Type="http://schemas.openxmlformats.org/officeDocument/2006/relationships/hyperlink" Id="rId36" Target="https://doi.org/10.1136/bmj.n71" TargetMode="External" /><Relationship Type="http://schemas.openxmlformats.org/officeDocument/2006/relationships/hyperlink" Id="rId44" Target="https://doi.org/10.2196/13659" TargetMode="External" /><Relationship Type="http://schemas.openxmlformats.org/officeDocument/2006/relationships/hyperlink" Id="rId46" Target="https://doi.org/10.2196/24680" TargetMode="External" /><Relationship Type="http://schemas.openxmlformats.org/officeDocument/2006/relationships/hyperlink" Id="rId34" Target="https://doi.org/10.2196/jmir.8775" TargetMode="External" /><Relationship Type="http://schemas.openxmlformats.org/officeDocument/2006/relationships/hyperlink" Id="rId50" Target="https://doi.org/10.2307/30036540" TargetMode="External" /><Relationship Type="http://schemas.openxmlformats.org/officeDocument/2006/relationships/hyperlink" Id="rId40" Target="https://doi.org/10.33590/emjinnov/19-00172" TargetMode="External" /><Relationship Type="http://schemas.openxmlformats.org/officeDocument/2006/relationships/hyperlink" Id="rId30" Target="https://doi.org/10.7861/futurehosp.6-2-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3545</Words>
  <Characters>20208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Students’ attitudes towards AI in Psychiatry</vt:lpstr>
    </vt:vector>
  </TitlesOfParts>
  <Company/>
  <LinksUpToDate>false</LinksUpToDate>
  <CharactersWithSpaces>23706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Implementation of AI-Enabled Medical Support Systems: A Systematic Review and Meta-Analysis Based on the Universal Theory of Acceptance and Use of Technology</dc:title>
  <dc:creator>Anne-Kathrin Kleine</dc:creator>
  <cp:keywords/>
  <dcterms:created xsi:type="dcterms:W3CDTF">2022-10-10T23:45:45Z</dcterms:created>
  <dcterms:modified xsi:type="dcterms:W3CDTF">2022-10-10T23:45:45Z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../../config/LMU_AI-Team.bib</vt:lpwstr>
  </property>
  <property fmtid="{D5CDD505-2E9C-101B-9397-08002B2CF9AE}" pid="6" name="by-affiliation">
    <vt:lpwstr/>
  </property>
  <property fmtid="{D5CDD505-2E9C-101B-9397-08002B2CF9AE}" pid="7" name="by-author">
    <vt:lpwstr/>
  </property>
  <property fmtid="{D5CDD505-2E9C-101B-9397-08002B2CF9AE}" pid="8" name="csl">
    <vt:lpwstr>../../config/apa.csl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horttitle">
    <vt:lpwstr>Medical Support Systems in Medicine</vt:lpwstr>
  </property>
  <property fmtid="{D5CDD505-2E9C-101B-9397-08002B2CF9AE}" pid="14" name="toc-title">
    <vt:lpwstr>Table of contents</vt:lpwstr>
  </property>
</Properties>
</file>