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9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</w:p>
    <w:p>
      <w:pPr>
        <w:pStyle w:val="Author"/>
      </w:pPr>
      <w:r>
        <w:t xml:space="preserve">Anne</w:t>
      </w:r>
    </w:p>
    <w:bookmarkStart w:id="24" w:name="preprocessing"/>
    <w:p>
      <w:pPr>
        <w:pStyle w:val="Heading1"/>
      </w:pPr>
      <w:r>
        <w:t xml:space="preserve">Preprocessing</w:t>
      </w:r>
    </w:p>
    <w:bookmarkStart w:id="20" w:name="reading-data-in"/>
    <w:p>
      <w:pPr>
        <w:pStyle w:val="Heading2"/>
      </w:pPr>
      <w:r>
        <w:t xml:space="preserve">Reading data in</w:t>
      </w:r>
    </w:p>
    <w:bookmarkEnd w:id="20"/>
    <w:bookmarkStart w:id="21" w:name="manipulating-data"/>
    <w:p>
      <w:pPr>
        <w:pStyle w:val="Heading2"/>
      </w:pPr>
      <w:r>
        <w:t xml:space="preserve">Manipulating data</w:t>
      </w:r>
    </w:p>
    <w:bookmarkEnd w:id="21"/>
    <w:bookmarkStart w:id="22" w:name="exporting-data"/>
    <w:p>
      <w:pPr>
        <w:pStyle w:val="Heading2"/>
      </w:pPr>
      <w:r>
        <w:t xml:space="preserve">Exporting data</w:t>
      </w:r>
    </w:p>
    <w:p>
      <w:pPr>
        <w:pStyle w:val="FirstParagraph"/>
      </w:pPr>
      <w:r>
        <w:t xml:space="preserve">For a cleaner look, all the above steps could also be performed in a separate</w:t>
      </w:r>
      <w:r>
        <w:t xml:space="preserve"> </w:t>
      </w:r>
      <w:r>
        <w:t xml:space="preserve">“</w:t>
      </w:r>
      <w:r>
        <w:t xml:space="preserve">data_preprocessing.R</w:t>
      </w:r>
      <w:r>
        <w:t xml:space="preserve">”</w:t>
      </w:r>
      <w:r>
        <w:t xml:space="preserve"> </w:t>
      </w:r>
      <w:r>
        <w:t xml:space="preserve">file that may be stored in the R folder.</w:t>
      </w:r>
    </w:p>
    <w:bookmarkEnd w:id="22"/>
    <w:bookmarkStart w:id="23" w:name="Xf72d7e6de9088b0171745503048014c411a42f2"/>
    <w:p>
      <w:pPr>
        <w:pStyle w:val="Heading2"/>
      </w:pPr>
      <w:r>
        <w:t xml:space="preserve">Storing and sourcing custom functions from the R folder</w:t>
      </w:r>
    </w:p>
    <w:p>
      <w:pPr>
        <w:pStyle w:val="FirstParagraph"/>
      </w:pPr>
      <w:r>
        <w:t xml:space="preserve">Now, we need to source our custom functions and read in the preprocessed data.</w:t>
      </w:r>
    </w:p>
    <w:bookmarkEnd w:id="23"/>
    <w:bookmarkEnd w:id="24"/>
    <w:bookmarkStart w:id="36" w:name="tables-and-visualisations"/>
    <w:p>
      <w:pPr>
        <w:pStyle w:val="Heading1"/>
      </w:pPr>
      <w:r>
        <w:t xml:space="preserve">Tables and visualisations</w:t>
      </w:r>
    </w:p>
    <w:bookmarkStart w:id="25" w:name="reading-in-data"/>
    <w:p>
      <w:pPr>
        <w:pStyle w:val="Heading2"/>
      </w:pPr>
      <w:r>
        <w:t xml:space="preserve">Reading in data</w:t>
      </w:r>
    </w:p>
    <w:bookmarkEnd w:id="25"/>
    <w:bookmarkStart w:id="27" w:name="creating-a-correlation-table"/>
    <w:p>
      <w:pPr>
        <w:pStyle w:val="Heading2"/>
      </w:pPr>
      <w:r>
        <w:t xml:space="preserve">Creating a correlation table</w:t>
      </w:r>
    </w:p>
    <w:p>
      <w:pPr>
        <w:pStyle w:val="FirstParagraph"/>
      </w:pPr>
      <w:r>
        <w:t xml:space="preserve">In the following, we display the correlations between the core model variables.</w:t>
      </w:r>
    </w:p>
    <w:bookmarkStart w:id="26" w:name="creating-composites"/>
    <w:p>
      <w:pPr>
        <w:pStyle w:val="Heading3"/>
      </w:pPr>
      <w:r>
        <w:t xml:space="preserve">Creating composites</w:t>
      </w:r>
    </w:p>
    <w:bookmarkEnd w:id="26"/>
    <w:bookmarkEnd w:id="27"/>
    <w:bookmarkStart w:id="28" w:name="creating-the-correlation-table"/>
    <w:p>
      <w:pPr>
        <w:pStyle w:val="Heading2"/>
      </w:pPr>
      <w:r>
        <w:t xml:space="preserve">Creating the correlation table</w:t>
      </w:r>
    </w:p>
    <w:p>
      <w:pPr>
        <w:pStyle w:val="SourceCode"/>
      </w:pPr>
      <w:r>
        <w:rPr>
          <w:rStyle w:val="VerbatimChar"/>
        </w:rPr>
        <w:t xml:space="preserve">                   Age    anxty1   gattAI1   SocInf1 soctechblind</w:t>
      </w:r>
      <w:r>
        <w:br/>
      </w:r>
      <w:r>
        <w:rPr>
          <w:rStyle w:val="VerbatimChar"/>
        </w:rPr>
        <w:t xml:space="preserve">Age                                                              </w:t>
      </w:r>
      <w:r>
        <w:br/>
      </w:r>
      <w:r>
        <w:rPr>
          <w:rStyle w:val="VerbatimChar"/>
        </w:rPr>
        <w:t xml:space="preserve">anxty1       -0.03                                               </w:t>
      </w:r>
      <w:r>
        <w:br/>
      </w:r>
      <w:r>
        <w:rPr>
          <w:rStyle w:val="VerbatimChar"/>
        </w:rPr>
        <w:t xml:space="preserve">gattAI1       0.00      0.16*                                    </w:t>
      </w:r>
      <w:r>
        <w:br/>
      </w:r>
      <w:r>
        <w:rPr>
          <w:rStyle w:val="VerbatimChar"/>
        </w:rPr>
        <w:t xml:space="preserve">SocInf1       0.12     -0.11      0.17*                          </w:t>
      </w:r>
      <w:r>
        <w:br/>
      </w:r>
      <w:r>
        <w:rPr>
          <w:rStyle w:val="VerbatimChar"/>
        </w:rPr>
        <w:t xml:space="preserve">soctechblind  0.09      0.30***   0.30***  -0.03                 </w:t>
      </w:r>
      <w:r>
        <w:br/>
      </w:r>
      <w:r>
        <w:rPr>
          <w:rStyle w:val="VerbatimChar"/>
        </w:rPr>
        <w:t xml:space="preserve">trust1       -0.06     -0.21**    0.12      0.57***     -0.22** 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Correlations between core model variables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anxty1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gattAI1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SocInf1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soctechblind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0.16*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0.17*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0.30***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0.30***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   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-0.21**  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0.12    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0.57*** 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-0.22**  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 example datase.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</w:tbl>
    <w:bookmarkEnd w:id="28"/>
    <w:bookmarkStart w:id="35" w:name="creating-plots"/>
    <w:p>
      <w:pPr>
        <w:pStyle w:val="Heading2"/>
      </w:pPr>
      <w:r>
        <w:t xml:space="preserve">Creating plots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port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39" w:name="theory"/>
    <w:p>
      <w:pPr>
        <w:pStyle w:val="Heading1"/>
      </w:pPr>
      <w:r>
        <w:t xml:space="preserve">Theory</w:t>
      </w:r>
    </w:p>
    <w:bookmarkStart w:id="37" w:name="theoretical-background"/>
    <w:p>
      <w:pPr>
        <w:pStyle w:val="Heading2"/>
      </w:pPr>
      <w:r>
        <w:t xml:space="preserve">Theoretical background</w:t>
      </w:r>
    </w:p>
    <w:p>
      <w:pPr>
        <w:pStyle w:val="FirstParagraph"/>
      </w:pPr>
      <w:r>
        <w:t xml:space="preserve">As reported by</w:t>
      </w:r>
      <w:r>
        <w:t xml:space="preserve"> </w:t>
      </w:r>
      <w:r>
        <w:t xml:space="preserve">Al-Antari et al. (2020)</w:t>
      </w:r>
      <w:r>
        <w:t xml:space="preserve">, students are eager to receive formal training on how to use AI Chatbots for their studies.</w:t>
      </w:r>
    </w:p>
    <w:bookmarkEnd w:id="37"/>
    <w:bookmarkStart w:id="38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We used the questionnaire developed by</w:t>
      </w:r>
      <w:r>
        <w:t xml:space="preserve"> </w:t>
      </w:r>
      <w:r>
        <w:t xml:space="preserve">G. Andrejková et al. (2021)</w:t>
      </w:r>
      <w:r>
        <w:t xml:space="preserve"> </w:t>
      </w:r>
      <w:r>
        <w:t xml:space="preserve">to measure the readiness to use AI among medical students.</w:t>
      </w:r>
    </w:p>
    <w:bookmarkEnd w:id="38"/>
    <w:bookmarkEnd w:id="39"/>
    <w:bookmarkStart w:id="45" w:name="references"/>
    <w:p>
      <w:pPr>
        <w:pStyle w:val="Heading1"/>
      </w:pPr>
      <w:r>
        <w:t xml:space="preserve">References</w:t>
      </w:r>
    </w:p>
    <w:bookmarkStart w:id="44" w:name="refs"/>
    <w:bookmarkStart w:id="41" w:name="ref-al-antari2020"/>
    <w:p>
      <w:pPr>
        <w:pStyle w:val="Bibliography"/>
      </w:pPr>
      <w:r>
        <w:t xml:space="preserve">Al-Antari, M. A., Han, S.-M., &amp; Kim, T.-S. (2020). Evaluation of deep learning detection and classification towards computer-aided diagnosis of breast lesions in digital x-ray mammograms.</w:t>
      </w:r>
      <w:r>
        <w:t xml:space="preserve"> </w:t>
      </w:r>
      <w:r>
        <w:rPr>
          <w:iCs/>
          <w:i/>
        </w:rPr>
        <w:t xml:space="preserve">Computer Methods and Programs in Biomedicine</w:t>
      </w:r>
      <w:r>
        <w:t xml:space="preserve">,</w:t>
      </w:r>
      <w:r>
        <w:t xml:space="preserve"> </w:t>
      </w:r>
      <w:r>
        <w:rPr>
          <w:iCs/>
          <w:i/>
        </w:rPr>
        <w:t xml:space="preserve">196</w:t>
      </w:r>
      <w:r>
        <w:t xml:space="preserve">(doh, 8506513), 105584.</w:t>
      </w:r>
      <w:r>
        <w:t xml:space="preserve"> </w:t>
      </w:r>
      <w:hyperlink r:id="rId40">
        <w:r>
          <w:rPr>
            <w:rStyle w:val="Hyperlink"/>
          </w:rPr>
          <w:t xml:space="preserve">https://doi.org/10.1016/j.cmpb.2020.105584</w:t>
        </w:r>
      </w:hyperlink>
    </w:p>
    <w:bookmarkEnd w:id="41"/>
    <w:bookmarkStart w:id="43" w:name="ref-g.andrejková2021"/>
    <w:p>
      <w:pPr>
        <w:pStyle w:val="Bibliography"/>
      </w:pPr>
      <w:r>
        <w:t xml:space="preserve">G. Andrejková, Ľ. Antoni, E. Bruoth, P. Bugata, D. Gajdoš, J. Guniš, Š. Horvát, D. Hudák, V. Kmečová, S. Krajči, O. Krídlo, M. Opiela, V. Pristaš, A. Szabari, R. Staňa, M. Staňková, Ľ. Šnajder, D. Šveda, &amp; G. Vozáriková. (2021).</w:t>
      </w:r>
      <w:r>
        <w:t xml:space="preserve"> </w:t>
      </w:r>
      <w:r>
        <w:rPr>
          <w:iCs/>
          <w:i/>
        </w:rPr>
        <w:t xml:space="preserve">2021 19th international conference on emerging eLearning technologies and applications (ICETA)</w:t>
      </w:r>
      <w:r>
        <w:t xml:space="preserve">. 12–17.</w:t>
      </w:r>
      <w:r>
        <w:t xml:space="preserve"> </w:t>
      </w:r>
      <w:hyperlink r:id="rId42">
        <w:r>
          <w:rPr>
            <w:rStyle w:val="Hyperlink"/>
          </w:rPr>
          <w:t xml:space="preserve">https://doi.org/10.1109/ICETA54173.2021.9726253</w:t>
        </w:r>
      </w:hyperlink>
    </w:p>
    <w:bookmarkEnd w:id="43"/>
    <w:bookmarkEnd w:id="44"/>
    <w:bookmarkEnd w:id="45"/>
    <w:sectPr w:rsidR="003E5B60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E8BAD20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65A1AB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5CE9B7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16EE16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21CB99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D52F9C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E4042B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A00BE2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71620A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1CCC53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71D0A4D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AB3238B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40020681" w:numId="1">
    <w:abstractNumId w:val="10"/>
  </w:num>
  <w:num w16cid:durableId="1823500691" w:numId="2">
    <w:abstractNumId w:val="11"/>
  </w:num>
  <w:num w16cid:durableId="326829551" w:numId="3">
    <w:abstractNumId w:val="11"/>
  </w:num>
  <w:num w16cid:durableId="725033778" w:numId="4">
    <w:abstractNumId w:val="11"/>
  </w:num>
  <w:num w16cid:durableId="434711821" w:numId="5">
    <w:abstractNumId w:val="11"/>
  </w:num>
  <w:num w16cid:durableId="2069569114" w:numId="6">
    <w:abstractNumId w:val="11"/>
  </w:num>
  <w:num w16cid:durableId="1664776140" w:numId="7">
    <w:abstractNumId w:val="11"/>
  </w:num>
  <w:num w16cid:durableId="445078188" w:numId="8">
    <w:abstractNumId w:val="11"/>
  </w:num>
  <w:num w16cid:durableId="1918320836" w:numId="9">
    <w:abstractNumId w:val="11"/>
  </w:num>
  <w:num w16cid:durableId="2019035315" w:numId="10">
    <w:abstractNumId w:val="0"/>
  </w:num>
  <w:num w16cid:durableId="400522865" w:numId="11">
    <w:abstractNumId w:val="1"/>
  </w:num>
  <w:num w16cid:durableId="850414923" w:numId="12">
    <w:abstractNumId w:val="2"/>
  </w:num>
  <w:num w16cid:durableId="1021468701" w:numId="13">
    <w:abstractNumId w:val="3"/>
  </w:num>
  <w:num w16cid:durableId="1806704114" w:numId="14">
    <w:abstractNumId w:val="8"/>
  </w:num>
  <w:num w16cid:durableId="852648049" w:numId="15">
    <w:abstractNumId w:val="4"/>
  </w:num>
  <w:num w16cid:durableId="556746709" w:numId="16">
    <w:abstractNumId w:val="5"/>
  </w:num>
  <w:num w16cid:durableId="1153256918" w:numId="17">
    <w:abstractNumId w:val="6"/>
  </w:num>
  <w:num w16cid:durableId="1401445702" w:numId="18">
    <w:abstractNumId w:val="7"/>
  </w:num>
  <w:num w16cid:durableId="760836244" w:numId="19">
    <w:abstractNumId w:val="9"/>
  </w:num>
  <w:num w16cid:durableId="1454783882" w:numId="20">
    <w:abstractNumId w:val="10"/>
  </w:num>
  <w:num w16cid:durableId="849102366" w:numId="21">
    <w:abstractNumId w:val="11"/>
  </w:num>
  <w:num w16cid:durableId="1589197607" w:numId="22">
    <w:abstractNumId w:val="11"/>
  </w:num>
  <w:num w16cid:durableId="1219587038" w:numId="23">
    <w:abstractNumId w:val="11"/>
  </w:num>
  <w:num w16cid:durableId="1995375051" w:numId="24">
    <w:abstractNumId w:val="11"/>
  </w:num>
  <w:num w16cid:durableId="864028072" w:numId="25">
    <w:abstractNumId w:val="11"/>
  </w:num>
  <w:num w16cid:durableId="2049187065" w:numId="26">
    <w:abstractNumId w:val="11"/>
  </w:num>
  <w:num w16cid:durableId="540827413" w:numId="27">
    <w:abstractNumId w:val="11"/>
  </w:num>
  <w:num w16cid:durableId="1786000525" w:numId="28">
    <w:abstractNumId w:val="11"/>
  </w:num>
  <w:num w16cid:durableId="1466041708" w:numId="29">
    <w:abstractNumId w:val="11"/>
  </w:num>
  <w:num w16cid:durableId="777682266" w:numId="30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BE0A6A"/>
    <w:pPr>
      <w:keepNext/>
      <w:keepLines/>
      <w:spacing w:after="0" w:line="480" w:lineRule="auto"/>
      <w:jc w:val="center"/>
      <w:outlineLvl w:val="0"/>
    </w:pPr>
    <w:rPr>
      <w:rFonts w:ascii="Times New Roman" w:cstheme="majorBidi" w:eastAsiaTheme="majorEastAsia" w:hAnsi="Times New Roman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E0A6A"/>
    <w:pPr>
      <w:keepNext/>
      <w:keepLines/>
      <w:spacing w:after="0" w:line="480" w:lineRule="auto"/>
      <w:outlineLvl w:val="1"/>
    </w:pPr>
    <w:rPr>
      <w:rFonts w:ascii="Times New Roman" w:cstheme="majorBidi" w:eastAsiaTheme="majorEastAsia" w:hAnsi="Times New Roman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5E330C"/>
    <w:pPr>
      <w:keepNext/>
      <w:keepLines/>
      <w:spacing w:after="0" w:line="480" w:lineRule="auto"/>
      <w:outlineLvl w:val="2"/>
    </w:pPr>
    <w:rPr>
      <w:rFonts w:ascii="Times New Roman" w:cstheme="majorBidi" w:eastAsiaTheme="majorEastAsia" w:hAnsi="Times New Roman"/>
      <w:b/>
      <w:bCs/>
      <w:i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0D56EA"/>
    <w:pPr>
      <w:keepNext/>
      <w:keepLines/>
      <w:spacing w:after="0" w:line="480" w:lineRule="auto"/>
      <w:ind w:firstLine="720"/>
      <w:outlineLvl w:val="3"/>
    </w:pPr>
    <w:rPr>
      <w:rFonts w:ascii="Times New Roman" w:cstheme="majorBidi" w:eastAsiaTheme="majorEastAsia" w:hAnsi="Times New Roman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0D56EA"/>
    <w:pPr>
      <w:keepNext/>
      <w:keepLines/>
      <w:spacing w:after="0" w:line="480" w:lineRule="auto"/>
      <w:ind w:firstLine="720"/>
      <w:outlineLvl w:val="4"/>
    </w:pPr>
    <w:rPr>
      <w:rFonts w:ascii="Times New Roman" w:cstheme="majorBidi" w:eastAsiaTheme="majorEastAsia" w:hAnsi="Times New Roman"/>
      <w:b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BE0A6A"/>
    <w:pPr>
      <w:spacing w:after="0" w:line="480" w:lineRule="auto"/>
      <w:ind w:firstLine="72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BE0A6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BE0A6A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color w:themeColor="text1" w:val="00000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343878"/>
    <w:pPr>
      <w:adjustRightInd w:val="0"/>
      <w:spacing w:after="0" w:line="480" w:lineRule="auto"/>
      <w:ind w:hanging="720" w:left="720"/>
    </w:pPr>
    <w:rPr>
      <w:rFonts w:ascii="Times New Roman" w:hAnsi="Times New Roman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uiPriority w:val="9"/>
    <w:unhideWhenUsed/>
    <w:qFormat/>
    <w:rsid w:val="009B6DF6"/>
    <w:rPr>
      <w:rFonts w:asciiTheme="majorBidi" w:hAnsiTheme="majorBidi"/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BodyTextChar" w:type="character">
    <w:name w:val="Body Text Char"/>
    <w:basedOn w:val="DefaultParagraphFont"/>
    <w:link w:val="BodyText"/>
    <w:rsid w:val="00BE0A6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hyperlink" Id="rId40" Target="https://doi.org/10.1016/j.cmpb.2020.105584" TargetMode="External" /><Relationship Type="http://schemas.openxmlformats.org/officeDocument/2006/relationships/hyperlink" Id="rId42" Target="https://doi.org/10.1109/ICETA54173.2021.972625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016/j.cmpb.2020.105584" TargetMode="External" /><Relationship Type="http://schemas.openxmlformats.org/officeDocument/2006/relationships/hyperlink" Id="rId42" Target="https://doi.org/10.1109/ICETA54173.2021.972625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3540</Words>
  <Characters>20184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Students’ attitudes towards AI in Psychiatry</vt:lpstr>
    </vt:vector>
  </TitlesOfParts>
  <Company/>
  <LinksUpToDate>false</LinksUpToDate>
  <CharactersWithSpaces>23677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</dc:title>
  <dc:creator>Anne</dc:creator>
  <cp:keywords/>
  <dcterms:created xsi:type="dcterms:W3CDTF">2023-11-03T12:52:29Z</dcterms:created>
  <dcterms:modified xsi:type="dcterms:W3CDTF">2023-11-03T12:52:29Z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config/refs.bib</vt:lpwstr>
  </property>
  <property fmtid="{D5CDD505-2E9C-101B-9397-08002B2CF9AE}" pid="5" name="by-author">
    <vt:lpwstr/>
  </property>
  <property fmtid="{D5CDD505-2E9C-101B-9397-08002B2CF9AE}" pid="6" name="csl">
    <vt:lpwstr>config/apa.csl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