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4601" w14:textId="420BBC42" w:rsidR="00BA584A" w:rsidRPr="00FD239F" w:rsidRDefault="00092E2A">
      <w:pPr>
        <w:rPr>
          <w:rFonts w:ascii="Times New Roman" w:hAnsi="Times New Roman" w:cs="Times New Roman"/>
          <w:lang w:val="en-US"/>
        </w:rPr>
      </w:pPr>
      <w:r w:rsidRPr="00092E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8A72A" wp14:editId="27DB25AC">
                <wp:simplePos x="0" y="0"/>
                <wp:positionH relativeFrom="column">
                  <wp:posOffset>1609042</wp:posOffset>
                </wp:positionH>
                <wp:positionV relativeFrom="paragraph">
                  <wp:posOffset>3788841</wp:posOffset>
                </wp:positionV>
                <wp:extent cx="2717165" cy="635"/>
                <wp:effectExtent l="0" t="0" r="0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9793BB" w14:textId="44041F88" w:rsidR="00812B91" w:rsidRPr="00812B91" w:rsidRDefault="00812B91" w:rsidP="00812B9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812B91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12B91">
                              <w:rPr>
                                <w:lang w:val="en-US"/>
                              </w:rP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092E2A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12B91">
                              <w:rPr>
                                <w:lang w:val="en-US"/>
                              </w:rPr>
                              <w:t xml:space="preserve">: Overall survival probability </w:t>
                            </w:r>
                            <w:r>
                              <w:rPr>
                                <w:lang w:val="en-US"/>
                              </w:rPr>
                              <w:t>and its 95%-confidence interval for each timepoint estimated by Kaplan-Meier approximation split by the IRSS staging of the retinoblastoma.</w:t>
                            </w:r>
                            <w:r w:rsidR="00092E2A" w:rsidRPr="00092E2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092E2A" w:rsidRPr="001752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If the parents did not mention the date of death, the date 6 months after the last appointment at NEC was considered the estimated time of deaths.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8A72A" id="Textfeld 4" o:spid="_x0000_s1027" type="#_x0000_t202" style="position:absolute;margin-left:126.7pt;margin-top:298.35pt;width:213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" stroked="f">
                <v:textbox style="mso-fit-shape-to-text:t" inset="0,0,0,0">
                  <w:txbxContent>
                    <w:p w14:paraId="099793BB" w14:textId="44041F88" w:rsidR="00812B91" w:rsidRPr="00812B91" w:rsidRDefault="00812B91" w:rsidP="00812B91">
                      <w:pPr>
                        <w:pStyle w:val="Beschriftung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812B91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12B91">
                        <w:rPr>
                          <w:lang w:val="en-US"/>
                        </w:rP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092E2A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812B91">
                        <w:rPr>
                          <w:lang w:val="en-US"/>
                        </w:rPr>
                        <w:t xml:space="preserve">: Overall survival probability </w:t>
                      </w:r>
                      <w:r>
                        <w:rPr>
                          <w:lang w:val="en-US"/>
                        </w:rPr>
                        <w:t>and its 95%-confidence interval for each timepoint estimated by Kaplan-Meier approximation split by the IRSS staging of the retinoblastoma.</w:t>
                      </w:r>
                      <w:r w:rsidR="00092E2A" w:rsidRPr="00092E2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092E2A" w:rsidRPr="00175288">
                        <w:rPr>
                          <w:rFonts w:ascii="Times New Roman" w:hAnsi="Times New Roman" w:cs="Times New Roman"/>
                          <w:lang w:val="en-US"/>
                        </w:rPr>
                        <w:t>If the parents did not mention the date of death, the date 6 months after the last appointment at NEC was considered the estimated time of deaths.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C655FF8" w14:textId="4D75AED1" w:rsidR="00EB27E3" w:rsidRPr="00092E2A" w:rsidRDefault="00BA584A" w:rsidP="00EB27E3">
      <w:pPr>
        <w:pStyle w:val="Caption"/>
        <w:keepNext/>
        <w:rPr>
          <w:rFonts w:ascii="Times New Roman" w:hAnsi="Times New Roman" w:cs="Times New Roman"/>
          <w:lang w:val="en-US"/>
        </w:rPr>
      </w:pPr>
      <w:r w:rsidRPr="00092E2A">
        <w:rPr>
          <w:rFonts w:ascii="Times New Roman" w:hAnsi="Times New Roman" w:cs="Times New Roman"/>
          <w:lang w:val="en-US"/>
        </w:rPr>
        <w:t xml:space="preserve">Table </w:t>
      </w:r>
      <w:r w:rsidR="00342C49">
        <w:rPr>
          <w:rFonts w:ascii="Times New Roman" w:hAnsi="Times New Roman" w:cs="Times New Roman"/>
          <w:lang w:val="en-US"/>
        </w:rPr>
        <w:t>1</w:t>
      </w:r>
      <w:r w:rsidRPr="00092E2A">
        <w:rPr>
          <w:rFonts w:ascii="Times New Roman" w:hAnsi="Times New Roman" w:cs="Times New Roman"/>
          <w:lang w:val="en-US"/>
        </w:rPr>
        <w:t xml:space="preserve">: </w:t>
      </w:r>
      <w:r w:rsidR="000977DE" w:rsidRPr="00092E2A">
        <w:rPr>
          <w:rFonts w:ascii="Times New Roman" w:hAnsi="Times New Roman" w:cs="Times New Roman"/>
          <w:lang w:val="en-US"/>
        </w:rPr>
        <w:t>1- and 3-year overall survival rate</w:t>
      </w:r>
      <w:r w:rsidR="00224914" w:rsidRPr="00092E2A">
        <w:rPr>
          <w:rFonts w:ascii="Times New Roman" w:hAnsi="Times New Roman" w:cs="Times New Roman"/>
          <w:lang w:val="en-US"/>
        </w:rPr>
        <w:t xml:space="preserve"> and 95%-confidence interval (CI)</w:t>
      </w:r>
      <w:r w:rsidR="000977DE" w:rsidRPr="00092E2A">
        <w:rPr>
          <w:rFonts w:ascii="Times New Roman" w:hAnsi="Times New Roman" w:cs="Times New Roman"/>
          <w:lang w:val="en-US"/>
        </w:rPr>
        <w:t xml:space="preserve"> of all patients diagnosed with retinoblastoma between 201</w:t>
      </w:r>
      <w:r w:rsidR="004175D5" w:rsidRPr="00092E2A">
        <w:rPr>
          <w:rFonts w:ascii="Times New Roman" w:hAnsi="Times New Roman" w:cs="Times New Roman"/>
          <w:lang w:val="en-US"/>
        </w:rPr>
        <w:t>7</w:t>
      </w:r>
      <w:r w:rsidR="000977DE" w:rsidRPr="00092E2A">
        <w:rPr>
          <w:rFonts w:ascii="Times New Roman" w:hAnsi="Times New Roman" w:cs="Times New Roman"/>
          <w:lang w:val="en-US"/>
        </w:rPr>
        <w:t xml:space="preserve"> and 2021, estimated by a Kaplan-Meier approximation.</w:t>
      </w:r>
      <w:r w:rsidRPr="00092E2A">
        <w:rPr>
          <w:rFonts w:ascii="Times New Roman" w:hAnsi="Times New Roman" w:cs="Times New Roman"/>
          <w:lang w:val="en-US"/>
        </w:rPr>
        <w:t xml:space="preserve"> If the parents did not mention the date of death, they are censored at the last appointment at NEC.</w:t>
      </w:r>
      <w:r w:rsidR="00EB27E3" w:rsidRPr="00092E2A">
        <w:rPr>
          <w:rFonts w:ascii="Times New Roman" w:hAnsi="Times New Roman" w:cs="Times New Roman"/>
          <w:lang w:val="en-US"/>
        </w:rPr>
        <w:t xml:space="preserve"> Some confidence intervals could not be calculated due to missing sample size. </w:t>
      </w:r>
    </w:p>
    <w:tbl>
      <w:tblPr>
        <w:tblStyle w:val="TableGrid"/>
        <w:tblpPr w:leftFromText="141" w:rightFromText="141" w:vertAnchor="page" w:horzAnchor="margin" w:tblpY="2730"/>
        <w:tblW w:w="0" w:type="auto"/>
        <w:tblLook w:val="04A0" w:firstRow="1" w:lastRow="0" w:firstColumn="1" w:lastColumn="0" w:noHBand="0" w:noVBand="1"/>
      </w:tblPr>
      <w:tblGrid>
        <w:gridCol w:w="1889"/>
        <w:gridCol w:w="658"/>
        <w:gridCol w:w="2171"/>
        <w:gridCol w:w="2172"/>
        <w:gridCol w:w="2172"/>
      </w:tblGrid>
      <w:tr w:rsidR="00342C49" w:rsidRPr="00092E2A" w14:paraId="02F0E017" w14:textId="77777777" w:rsidTr="00342C49">
        <w:tc>
          <w:tcPr>
            <w:tcW w:w="2547" w:type="dxa"/>
            <w:gridSpan w:val="2"/>
          </w:tcPr>
          <w:p w14:paraId="65CFF8D0" w14:textId="77777777" w:rsidR="00342C49" w:rsidRPr="00092E2A" w:rsidRDefault="00342C49" w:rsidP="00342C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71" w:type="dxa"/>
          </w:tcPr>
          <w:p w14:paraId="76893899" w14:textId="77777777" w:rsidR="00342C49" w:rsidRPr="00342C49" w:rsidRDefault="00342C49" w:rsidP="00342C49">
            <w:pPr>
              <w:rPr>
                <w:rFonts w:ascii="Times New Roman" w:hAnsi="Times New Roman" w:cs="Times New Roman"/>
              </w:rPr>
            </w:pPr>
            <w:r w:rsidRPr="00342C49">
              <w:rPr>
                <w:rFonts w:ascii="Times New Roman" w:hAnsi="Times New Roman" w:cs="Times New Roman"/>
              </w:rPr>
              <w:t>Median survival (95%-CI)</w:t>
            </w:r>
          </w:p>
        </w:tc>
        <w:tc>
          <w:tcPr>
            <w:tcW w:w="2172" w:type="dxa"/>
          </w:tcPr>
          <w:p w14:paraId="094D3B26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1-year rate (95%-CI)</w:t>
            </w:r>
          </w:p>
        </w:tc>
        <w:tc>
          <w:tcPr>
            <w:tcW w:w="2172" w:type="dxa"/>
          </w:tcPr>
          <w:p w14:paraId="72E2D421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3-year rate (95%-CI)</w:t>
            </w:r>
          </w:p>
        </w:tc>
      </w:tr>
      <w:tr w:rsidR="00342C49" w:rsidRPr="00092E2A" w14:paraId="53BEF3EB" w14:textId="77777777" w:rsidTr="00342C49">
        <w:tc>
          <w:tcPr>
            <w:tcW w:w="1889" w:type="dxa"/>
            <w:vMerge w:val="restart"/>
          </w:tcPr>
          <w:p w14:paraId="6DD18D9F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  <w:b/>
                <w:bCs/>
              </w:rPr>
              <w:t>IRSS Staging</w:t>
            </w:r>
          </w:p>
        </w:tc>
        <w:tc>
          <w:tcPr>
            <w:tcW w:w="658" w:type="dxa"/>
          </w:tcPr>
          <w:p w14:paraId="1B33009B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0-I</w:t>
            </w:r>
          </w:p>
        </w:tc>
        <w:tc>
          <w:tcPr>
            <w:tcW w:w="2171" w:type="dxa"/>
          </w:tcPr>
          <w:p w14:paraId="0EAAFDD3" w14:textId="77777777" w:rsidR="00342C49" w:rsidRPr="00342C49" w:rsidRDefault="00342C49" w:rsidP="00342C49">
            <w:pPr>
              <w:rPr>
                <w:rFonts w:ascii="Times New Roman" w:hAnsi="Times New Roman" w:cs="Times New Roman"/>
              </w:rPr>
            </w:pPr>
            <w:r w:rsidRPr="00342C49">
              <w:rPr>
                <w:rFonts w:ascii="Times New Roman" w:hAnsi="Times New Roman" w:cs="Times New Roman"/>
              </w:rPr>
              <w:t>NA (NA, NA)</w:t>
            </w:r>
          </w:p>
        </w:tc>
        <w:tc>
          <w:tcPr>
            <w:tcW w:w="2172" w:type="dxa"/>
          </w:tcPr>
          <w:p w14:paraId="50D82E04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0.667 (0.300, 1.000)</w:t>
            </w:r>
          </w:p>
        </w:tc>
        <w:tc>
          <w:tcPr>
            <w:tcW w:w="2172" w:type="dxa"/>
          </w:tcPr>
          <w:p w14:paraId="106A294C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0.667 (0.300, 1.000)</w:t>
            </w:r>
          </w:p>
        </w:tc>
      </w:tr>
      <w:tr w:rsidR="00342C49" w:rsidRPr="00092E2A" w14:paraId="1DE3B590" w14:textId="77777777" w:rsidTr="00342C49">
        <w:tc>
          <w:tcPr>
            <w:tcW w:w="1889" w:type="dxa"/>
            <w:vMerge/>
          </w:tcPr>
          <w:p w14:paraId="5FA057C2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8" w:type="dxa"/>
          </w:tcPr>
          <w:p w14:paraId="2553A211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2171" w:type="dxa"/>
          </w:tcPr>
          <w:p w14:paraId="147D31EE" w14:textId="77777777" w:rsidR="00342C49" w:rsidRPr="00342C49" w:rsidRDefault="00342C49" w:rsidP="00342C49">
            <w:pPr>
              <w:rPr>
                <w:rFonts w:ascii="Times New Roman" w:hAnsi="Times New Roman" w:cs="Times New Roman"/>
              </w:rPr>
            </w:pPr>
            <w:r w:rsidRPr="00342C49">
              <w:rPr>
                <w:rFonts w:ascii="Times New Roman" w:hAnsi="Times New Roman" w:cs="Times New Roman"/>
              </w:rPr>
              <w:t>4.30 (2.77, NA)</w:t>
            </w:r>
          </w:p>
        </w:tc>
        <w:tc>
          <w:tcPr>
            <w:tcW w:w="2172" w:type="dxa"/>
          </w:tcPr>
          <w:p w14:paraId="21F14371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0.876 (0.809, 0.947)</w:t>
            </w:r>
          </w:p>
        </w:tc>
        <w:tc>
          <w:tcPr>
            <w:tcW w:w="2172" w:type="dxa"/>
          </w:tcPr>
          <w:p w14:paraId="3FB50092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0.574 (0.458, 0.718)</w:t>
            </w:r>
          </w:p>
        </w:tc>
      </w:tr>
      <w:tr w:rsidR="00342C49" w:rsidRPr="00092E2A" w14:paraId="5F0ACD40" w14:textId="77777777" w:rsidTr="00342C49">
        <w:tc>
          <w:tcPr>
            <w:tcW w:w="1889" w:type="dxa"/>
            <w:vMerge/>
          </w:tcPr>
          <w:p w14:paraId="43B90498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8" w:type="dxa"/>
          </w:tcPr>
          <w:p w14:paraId="2BF2064C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2171" w:type="dxa"/>
          </w:tcPr>
          <w:p w14:paraId="7EE86B98" w14:textId="77777777" w:rsidR="00342C49" w:rsidRPr="00342C49" w:rsidRDefault="00342C49" w:rsidP="00342C49">
            <w:pPr>
              <w:rPr>
                <w:rFonts w:ascii="Times New Roman" w:hAnsi="Times New Roman" w:cs="Times New Roman"/>
              </w:rPr>
            </w:pPr>
            <w:r w:rsidRPr="00342C49">
              <w:rPr>
                <w:rFonts w:ascii="Times New Roman" w:hAnsi="Times New Roman" w:cs="Times New Roman"/>
              </w:rPr>
              <w:t>1.88 (1.31, NA)</w:t>
            </w:r>
          </w:p>
        </w:tc>
        <w:tc>
          <w:tcPr>
            <w:tcW w:w="2172" w:type="dxa"/>
          </w:tcPr>
          <w:p w14:paraId="3574AC31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0.779 (0.608, 0.999)</w:t>
            </w:r>
          </w:p>
        </w:tc>
        <w:tc>
          <w:tcPr>
            <w:tcW w:w="2172" w:type="dxa"/>
          </w:tcPr>
          <w:p w14:paraId="57FEA4F2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0.256 (0.055, 1.000)</w:t>
            </w:r>
          </w:p>
        </w:tc>
      </w:tr>
      <w:tr w:rsidR="00342C49" w:rsidRPr="00092E2A" w14:paraId="3C4FACC8" w14:textId="77777777" w:rsidTr="00342C49">
        <w:tc>
          <w:tcPr>
            <w:tcW w:w="1889" w:type="dxa"/>
            <w:vMerge/>
          </w:tcPr>
          <w:p w14:paraId="3C70FB53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8" w:type="dxa"/>
          </w:tcPr>
          <w:p w14:paraId="55666848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2171" w:type="dxa"/>
          </w:tcPr>
          <w:p w14:paraId="54BB76C9" w14:textId="77777777" w:rsidR="00342C49" w:rsidRPr="00342C49" w:rsidRDefault="00342C49" w:rsidP="00342C49">
            <w:pPr>
              <w:rPr>
                <w:rFonts w:ascii="Times New Roman" w:hAnsi="Times New Roman" w:cs="Times New Roman"/>
              </w:rPr>
            </w:pPr>
            <w:r w:rsidRPr="00342C49">
              <w:rPr>
                <w:rFonts w:ascii="Times New Roman" w:hAnsi="Times New Roman" w:cs="Times New Roman"/>
              </w:rPr>
              <w:t>1.42 (1.06, NA)</w:t>
            </w:r>
          </w:p>
        </w:tc>
        <w:tc>
          <w:tcPr>
            <w:tcW w:w="2172" w:type="dxa"/>
          </w:tcPr>
          <w:p w14:paraId="36C8D4B0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0.875 (0.673, 1.000)</w:t>
            </w:r>
          </w:p>
        </w:tc>
        <w:tc>
          <w:tcPr>
            <w:tcW w:w="2172" w:type="dxa"/>
          </w:tcPr>
          <w:p w14:paraId="51942B58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092E2A">
              <w:rPr>
                <w:rFonts w:ascii="Times New Roman" w:hAnsi="Times New Roman" w:cs="Times New Roman"/>
              </w:rPr>
              <w:t>0.000 (NA, NA)</w:t>
            </w:r>
          </w:p>
        </w:tc>
      </w:tr>
      <w:tr w:rsidR="00342C49" w:rsidRPr="00092E2A" w14:paraId="7BF11AAE" w14:textId="77777777" w:rsidTr="00342C49">
        <w:tc>
          <w:tcPr>
            <w:tcW w:w="2547" w:type="dxa"/>
            <w:gridSpan w:val="2"/>
          </w:tcPr>
          <w:p w14:paraId="57A43804" w14:textId="77777777" w:rsidR="00342C49" w:rsidRPr="00342C49" w:rsidRDefault="00342C49" w:rsidP="00342C49">
            <w:pPr>
              <w:rPr>
                <w:rFonts w:ascii="Times New Roman" w:hAnsi="Times New Roman" w:cs="Times New Roman"/>
              </w:rPr>
            </w:pPr>
            <w:r w:rsidRPr="00342C49">
              <w:rPr>
                <w:rFonts w:ascii="Times New Roman" w:hAnsi="Times New Roman" w:cs="Times New Roman"/>
              </w:rPr>
              <w:t>Total cohort</w:t>
            </w:r>
          </w:p>
        </w:tc>
        <w:tc>
          <w:tcPr>
            <w:tcW w:w="2171" w:type="dxa"/>
          </w:tcPr>
          <w:p w14:paraId="5205D69B" w14:textId="77777777" w:rsidR="00342C49" w:rsidRPr="00342C49" w:rsidRDefault="00342C49" w:rsidP="00342C49">
            <w:pPr>
              <w:rPr>
                <w:rFonts w:ascii="Times New Roman" w:hAnsi="Times New Roman" w:cs="Times New Roman"/>
              </w:rPr>
            </w:pPr>
            <w:r w:rsidRPr="00342C49">
              <w:rPr>
                <w:rFonts w:ascii="Times New Roman" w:hAnsi="Times New Roman" w:cs="Times New Roman"/>
              </w:rPr>
              <w:t>3.69 (2.5, NA)</w:t>
            </w:r>
          </w:p>
        </w:tc>
        <w:tc>
          <w:tcPr>
            <w:tcW w:w="2172" w:type="dxa"/>
          </w:tcPr>
          <w:p w14:paraId="4506DA64" w14:textId="77777777" w:rsidR="00342C49" w:rsidRPr="00342C49" w:rsidRDefault="00342C49" w:rsidP="00342C49">
            <w:pPr>
              <w:rPr>
                <w:rFonts w:ascii="Times New Roman" w:hAnsi="Times New Roman" w:cs="Times New Roman"/>
              </w:rPr>
            </w:pPr>
            <w:r w:rsidRPr="00342C49">
              <w:rPr>
                <w:rFonts w:ascii="Times New Roman" w:hAnsi="Times New Roman" w:cs="Times New Roman"/>
              </w:rPr>
              <w:t>0.856 (0.797, 0.920)</w:t>
            </w:r>
          </w:p>
        </w:tc>
        <w:tc>
          <w:tcPr>
            <w:tcW w:w="2172" w:type="dxa"/>
          </w:tcPr>
          <w:p w14:paraId="32F4FF40" w14:textId="77777777" w:rsidR="00342C49" w:rsidRPr="00092E2A" w:rsidRDefault="00342C49" w:rsidP="00342C49">
            <w:pPr>
              <w:rPr>
                <w:rFonts w:ascii="Times New Roman" w:hAnsi="Times New Roman" w:cs="Times New Roman"/>
              </w:rPr>
            </w:pPr>
            <w:r w:rsidRPr="00342C49">
              <w:rPr>
                <w:rFonts w:ascii="Times New Roman" w:hAnsi="Times New Roman" w:cs="Times New Roman"/>
              </w:rPr>
              <w:t>0.535 (0.431, 0.664)</w:t>
            </w:r>
          </w:p>
        </w:tc>
      </w:tr>
    </w:tbl>
    <w:p w14:paraId="41E8F8B6" w14:textId="71DE01AF" w:rsidR="00BA584A" w:rsidRPr="00092E2A" w:rsidRDefault="00BA584A" w:rsidP="00EB27E3">
      <w:pPr>
        <w:pStyle w:val="Caption"/>
        <w:keepNext/>
        <w:jc w:val="both"/>
        <w:rPr>
          <w:rFonts w:ascii="Times New Roman" w:hAnsi="Times New Roman" w:cs="Times New Roman"/>
          <w:lang w:val="en-US"/>
        </w:rPr>
      </w:pPr>
    </w:p>
    <w:p w14:paraId="08DBA531" w14:textId="1D93E478" w:rsidR="00BA584A" w:rsidRPr="00092E2A" w:rsidRDefault="00BA584A" w:rsidP="00BA584A">
      <w:pPr>
        <w:rPr>
          <w:rFonts w:ascii="Times New Roman" w:hAnsi="Times New Roman" w:cs="Times New Roman"/>
          <w:lang w:val="en-US"/>
        </w:rPr>
      </w:pPr>
    </w:p>
    <w:p w14:paraId="419944EE" w14:textId="0CC4B024" w:rsidR="00BA584A" w:rsidRPr="00092E2A" w:rsidRDefault="00342C49">
      <w:pPr>
        <w:rPr>
          <w:rFonts w:ascii="Times New Roman" w:hAnsi="Times New Roman" w:cs="Times New Roman"/>
          <w:lang w:val="en-US"/>
        </w:rPr>
      </w:pPr>
      <w:r w:rsidRPr="00092E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D3569" wp14:editId="1732C188">
                <wp:simplePos x="0" y="0"/>
                <wp:positionH relativeFrom="margin">
                  <wp:posOffset>1452245</wp:posOffset>
                </wp:positionH>
                <wp:positionV relativeFrom="paragraph">
                  <wp:posOffset>4236144</wp:posOffset>
                </wp:positionV>
                <wp:extent cx="3001010" cy="635"/>
                <wp:effectExtent l="0" t="0" r="8890" b="889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A3E96" w14:textId="2F29C429" w:rsidR="00092E2A" w:rsidRPr="00812B91" w:rsidRDefault="00092E2A" w:rsidP="00342C4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812B91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12B91">
                              <w:rPr>
                                <w:lang w:val="en-US"/>
                              </w:rP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Pr="00812B91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12B91">
                              <w:rPr>
                                <w:lang w:val="en-US"/>
                              </w:rPr>
                              <w:t xml:space="preserve">: Overall survival probability </w:t>
                            </w:r>
                            <w:r>
                              <w:rPr>
                                <w:lang w:val="en-US"/>
                              </w:rPr>
                              <w:t>and its 95%-confidence interval for each timepoint estimated by Kaplan-Meier approximation split by the IRSS staging of the retinoblastoma.</w:t>
                            </w:r>
                          </w:p>
                          <w:p w14:paraId="7E6F93BB" w14:textId="358FE1C0" w:rsidR="00092E2A" w:rsidRPr="00D22F04" w:rsidRDefault="00092E2A" w:rsidP="00092E2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D3569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7" type="#_x0000_t202" style="position:absolute;margin-left:114.35pt;margin-top:333.55pt;width:236.3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" stroked="f">
                <v:textbox style="mso-fit-shape-to-text:t" inset="0,0,0,0">
                  <w:txbxContent>
                    <w:p w14:paraId="3F8A3E96" w14:textId="2F29C429" w:rsidR="00092E2A" w:rsidRPr="00812B91" w:rsidRDefault="00092E2A" w:rsidP="00342C4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812B91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12B91">
                        <w:rPr>
                          <w:lang w:val="en-US"/>
                        </w:rP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Pr="00812B91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812B91">
                        <w:rPr>
                          <w:lang w:val="en-US"/>
                        </w:rPr>
                        <w:t xml:space="preserve">: Overall survival probability </w:t>
                      </w:r>
                      <w:r>
                        <w:rPr>
                          <w:lang w:val="en-US"/>
                        </w:rPr>
                        <w:t>and its 95%-confidence interval for each timepoint estimated by Kaplan-Meier approximation split by the IRSS staging of the retinoblastoma.</w:t>
                      </w:r>
                    </w:p>
                    <w:p w14:paraId="7E6F93BB" w14:textId="358FE1C0" w:rsidR="00092E2A" w:rsidRPr="00D22F04" w:rsidRDefault="00092E2A" w:rsidP="00092E2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D239F" w:rsidRPr="00092E2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D7E396A" wp14:editId="00C788B3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3001010" cy="3881755"/>
            <wp:effectExtent l="0" t="0" r="8890" b="444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584A" w:rsidRPr="00092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A2B1B"/>
    <w:multiLevelType w:val="hybridMultilevel"/>
    <w:tmpl w:val="1ECCB9E6"/>
    <w:lvl w:ilvl="0" w:tplc="9A5E6E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247F6"/>
    <w:multiLevelType w:val="hybridMultilevel"/>
    <w:tmpl w:val="87E02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63F6D"/>
    <w:multiLevelType w:val="hybridMultilevel"/>
    <w:tmpl w:val="87E02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02E5E"/>
    <w:multiLevelType w:val="hybridMultilevel"/>
    <w:tmpl w:val="87E02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322532">
    <w:abstractNumId w:val="1"/>
  </w:num>
  <w:num w:numId="2" w16cid:durableId="38939605">
    <w:abstractNumId w:val="3"/>
  </w:num>
  <w:num w:numId="3" w16cid:durableId="1194615975">
    <w:abstractNumId w:val="2"/>
  </w:num>
  <w:num w:numId="4" w16cid:durableId="16667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3B"/>
    <w:rsid w:val="00010134"/>
    <w:rsid w:val="00092E2A"/>
    <w:rsid w:val="000977DE"/>
    <w:rsid w:val="00175288"/>
    <w:rsid w:val="00224914"/>
    <w:rsid w:val="00342C49"/>
    <w:rsid w:val="004175D5"/>
    <w:rsid w:val="00460687"/>
    <w:rsid w:val="004A5F4F"/>
    <w:rsid w:val="005A2EEF"/>
    <w:rsid w:val="005A7FF6"/>
    <w:rsid w:val="005E1C3B"/>
    <w:rsid w:val="007F0C3A"/>
    <w:rsid w:val="007F49ED"/>
    <w:rsid w:val="00812B91"/>
    <w:rsid w:val="00827D67"/>
    <w:rsid w:val="0094465C"/>
    <w:rsid w:val="00AC7EFD"/>
    <w:rsid w:val="00B05C72"/>
    <w:rsid w:val="00BA584A"/>
    <w:rsid w:val="00C11D07"/>
    <w:rsid w:val="00C11E59"/>
    <w:rsid w:val="00CE2500"/>
    <w:rsid w:val="00D3596D"/>
    <w:rsid w:val="00E302C2"/>
    <w:rsid w:val="00EB27E3"/>
    <w:rsid w:val="00EC2498"/>
    <w:rsid w:val="00F35309"/>
    <w:rsid w:val="00FA4271"/>
    <w:rsid w:val="00F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3333"/>
  <w15:chartTrackingRefBased/>
  <w15:docId w15:val="{C5136C62-16AE-4A8D-816D-3D8EE534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134"/>
  </w:style>
  <w:style w:type="paragraph" w:styleId="Heading1">
    <w:name w:val="heading 1"/>
    <w:basedOn w:val="Normal"/>
    <w:next w:val="Normal"/>
    <w:link w:val="Heading1Char"/>
    <w:uiPriority w:val="9"/>
    <w:qFormat/>
    <w:rsid w:val="00FD2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11D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D2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F0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C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C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C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96D6A-E2D8-457F-B782-2E5D6705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Fischhuber, Karen</dc:creator>
  <cp:keywords/>
  <dc:description/>
  <cp:lastModifiedBy>annesusanty0506@gmail.com</cp:lastModifiedBy>
  <cp:revision>3</cp:revision>
  <dcterms:created xsi:type="dcterms:W3CDTF">2025-07-18T09:41:00Z</dcterms:created>
  <dcterms:modified xsi:type="dcterms:W3CDTF">2025-07-18T09:47:00Z</dcterms:modified>
</cp:coreProperties>
</file>