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3B" w:rsidRDefault="000751CC" w:rsidP="002719AB">
      <w:pPr>
        <w:jc w:val="center"/>
        <w:rPr>
          <w:b/>
          <w:u w:val="single"/>
        </w:rPr>
      </w:pPr>
      <w:r w:rsidRPr="000751CC">
        <w:rPr>
          <w:b/>
          <w:u w:val="single"/>
        </w:rPr>
        <w:t xml:space="preserve">Pathway and Attribution </w:t>
      </w:r>
      <w:r w:rsidR="009E672C">
        <w:rPr>
          <w:b/>
          <w:u w:val="single"/>
        </w:rPr>
        <w:t>Exercise</w:t>
      </w:r>
    </w:p>
    <w:p w:rsidR="000751CC" w:rsidRPr="00C7433C" w:rsidRDefault="00C7433C">
      <w:pPr>
        <w:rPr>
          <w:b/>
        </w:rPr>
      </w:pPr>
      <w:r w:rsidRPr="00C7433C">
        <w:rPr>
          <w:b/>
        </w:rPr>
        <w:t>Background</w:t>
      </w:r>
    </w:p>
    <w:p w:rsidR="00C7433C" w:rsidRDefault="005A12A2">
      <w:r>
        <w:t xml:space="preserve">Unbranded </w:t>
      </w:r>
      <w:r w:rsidR="00496812">
        <w:t>Apparel</w:t>
      </w:r>
      <w:r>
        <w:t xml:space="preserve"> Company’s d</w:t>
      </w:r>
      <w:r w:rsidR="00C365DB">
        <w:t xml:space="preserve">isplay </w:t>
      </w:r>
      <w:r>
        <w:t>m</w:t>
      </w:r>
      <w:r w:rsidR="00C365DB">
        <w:t>edia efforts for May 201</w:t>
      </w:r>
      <w:r w:rsidR="009B05FD">
        <w:t>6</w:t>
      </w:r>
      <w:r w:rsidR="00C365DB">
        <w:t xml:space="preserve"> were focused mainly on Remarketing, Retention and Prospecting.  </w:t>
      </w:r>
    </w:p>
    <w:p w:rsidR="000751CC" w:rsidRDefault="00C365DB">
      <w:r>
        <w:t xml:space="preserve">The Remarketing program targets recent site visitors (those who have visited </w:t>
      </w:r>
      <w:r w:rsidR="00C259E4">
        <w:t xml:space="preserve">their </w:t>
      </w:r>
      <w:r>
        <w:t xml:space="preserve">site in the last 7 days) regardless of prior purchase history.  </w:t>
      </w:r>
      <w:r w:rsidR="002719AB">
        <w:t>A</w:t>
      </w:r>
      <w:r>
        <w:t xml:space="preserve">ds are dynamically created depending on actions taken during their visit </w:t>
      </w:r>
      <w:r w:rsidR="00FF7F3C">
        <w:t xml:space="preserve">(e.g. </w:t>
      </w:r>
      <w:r>
        <w:t>categories viewed, products added to cart or purchased</w:t>
      </w:r>
      <w:r w:rsidR="002719AB">
        <w:t xml:space="preserve">, </w:t>
      </w:r>
      <w:proofErr w:type="spellStart"/>
      <w:r w:rsidR="002719AB">
        <w:t>etc</w:t>
      </w:r>
      <w:proofErr w:type="spellEnd"/>
      <w:r w:rsidR="00FF7F3C">
        <w:t>)</w:t>
      </w:r>
      <w:r>
        <w:t xml:space="preserve">.  </w:t>
      </w:r>
    </w:p>
    <w:p w:rsidR="00C7433C" w:rsidRDefault="00C7433C">
      <w:r>
        <w:t xml:space="preserve">The Retention program targets existing customers who have made at least one purchase in the last 12 months.  Ads are created depending </w:t>
      </w:r>
      <w:r w:rsidR="00FF7F3C">
        <w:t xml:space="preserve">on the </w:t>
      </w:r>
      <w:r>
        <w:t>segment</w:t>
      </w:r>
      <w:r w:rsidR="00FF7F3C">
        <w:t>(s)</w:t>
      </w:r>
      <w:r>
        <w:t xml:space="preserve"> they belong to in </w:t>
      </w:r>
      <w:r w:rsidR="00284BB5">
        <w:t>their C</w:t>
      </w:r>
      <w:r>
        <w:t>RM database.</w:t>
      </w:r>
    </w:p>
    <w:p w:rsidR="00C7433C" w:rsidRDefault="00C7433C">
      <w:r>
        <w:t xml:space="preserve">The Prospecting program targets new potential customers with no known purchase in </w:t>
      </w:r>
      <w:r w:rsidR="0033071B">
        <w:t xml:space="preserve">their </w:t>
      </w:r>
      <w:r>
        <w:t xml:space="preserve">CRM database.  </w:t>
      </w:r>
      <w:r w:rsidR="0033071B">
        <w:t xml:space="preserve">The </w:t>
      </w:r>
      <w:proofErr w:type="spellStart"/>
      <w:r w:rsidR="00284BB5">
        <w:t>MediaMath</w:t>
      </w:r>
      <w:proofErr w:type="spellEnd"/>
      <w:r w:rsidR="00284BB5">
        <w:t xml:space="preserve"> </w:t>
      </w:r>
      <w:r w:rsidR="002719AB">
        <w:t xml:space="preserve">platform provides </w:t>
      </w:r>
      <w:r>
        <w:t>numerous 3</w:t>
      </w:r>
      <w:r w:rsidRPr="00C7433C">
        <w:rPr>
          <w:vertAlign w:val="superscript"/>
        </w:rPr>
        <w:t>rd</w:t>
      </w:r>
      <w:r>
        <w:t xml:space="preserve"> party </w:t>
      </w:r>
      <w:r w:rsidR="002719AB">
        <w:t>prospecting sources</w:t>
      </w:r>
      <w:r>
        <w:t>.</w:t>
      </w:r>
      <w:r w:rsidR="00FF7F3C">
        <w:t xml:space="preserve"> </w:t>
      </w:r>
      <w:r w:rsidR="0033071B">
        <w:t xml:space="preserve"> </w:t>
      </w:r>
      <w:r w:rsidR="00FF7F3C">
        <w:t xml:space="preserve">Ads displayed are typically based on the context of the site being served on (e.g. serve a </w:t>
      </w:r>
      <w:r w:rsidR="005D1D36">
        <w:t>maternity</w:t>
      </w:r>
      <w:r w:rsidR="0033071B">
        <w:t xml:space="preserve"> </w:t>
      </w:r>
      <w:r w:rsidR="00FF7F3C">
        <w:t xml:space="preserve">ad to a prospect browsing on </w:t>
      </w:r>
      <w:r w:rsidR="005D1D36">
        <w:t>thebump</w:t>
      </w:r>
      <w:r w:rsidR="00FF7F3C">
        <w:t>.com).</w:t>
      </w:r>
    </w:p>
    <w:p w:rsidR="00723688" w:rsidRDefault="00723688">
      <w:r>
        <w:t xml:space="preserve">There are also other programs, such as reactivation and miscellaneous </w:t>
      </w:r>
      <w:r w:rsidR="0033071B">
        <w:t xml:space="preserve">one-off </w:t>
      </w:r>
      <w:r>
        <w:t xml:space="preserve">campaigns. Those </w:t>
      </w:r>
      <w:r w:rsidR="002719AB">
        <w:t xml:space="preserve">should </w:t>
      </w:r>
      <w:r>
        <w:t xml:space="preserve">be ignored for this </w:t>
      </w:r>
      <w:r w:rsidR="002719AB">
        <w:t>exercise</w:t>
      </w:r>
      <w:r>
        <w:t>.</w:t>
      </w:r>
    </w:p>
    <w:p w:rsidR="00BF45B6" w:rsidRPr="00AE2776" w:rsidRDefault="00BF45B6" w:rsidP="00BF45B6">
      <w:pPr>
        <w:rPr>
          <w:b/>
        </w:rPr>
      </w:pPr>
      <w:r>
        <w:rPr>
          <w:b/>
        </w:rPr>
        <w:t>Measurement Methodology</w:t>
      </w:r>
    </w:p>
    <w:p w:rsidR="00FB0A55" w:rsidRDefault="00FB0A55" w:rsidP="00BF45B6">
      <w:r>
        <w:t xml:space="preserve">The </w:t>
      </w:r>
      <w:r w:rsidR="00634087">
        <w:t>main performance indicator</w:t>
      </w:r>
      <w:r>
        <w:t xml:space="preserve"> measured </w:t>
      </w:r>
      <w:r w:rsidR="00634087">
        <w:t xml:space="preserve">for this client is </w:t>
      </w:r>
      <w:r>
        <w:t xml:space="preserve">Incremental ROAS.  </w:t>
      </w:r>
    </w:p>
    <w:p w:rsidR="002719AB" w:rsidRDefault="002719AB" w:rsidP="002719AB">
      <w:r>
        <w:t>In order to measure and take credit only for incremental orders</w:t>
      </w:r>
      <w:r w:rsidR="0033071B">
        <w:t xml:space="preserve"> and incremental </w:t>
      </w:r>
      <w:r>
        <w:t xml:space="preserve">revenue generated by these efforts, a small holdout group is served a public service announcement (PSA) instead of </w:t>
      </w:r>
      <w:proofErr w:type="spellStart"/>
      <w:r w:rsidR="005A12A2">
        <w:t>Unbranded</w:t>
      </w:r>
      <w:r w:rsidR="0033071B">
        <w:t>’s</w:t>
      </w:r>
      <w:proofErr w:type="spellEnd"/>
      <w:r w:rsidR="0033071B">
        <w:t xml:space="preserve"> </w:t>
      </w:r>
      <w:r>
        <w:t xml:space="preserve">ads to represent a control.  Results for the control can be compared against the test group to determine what percentage of those sales were truly driven by the program, and wouldn’t have happened </w:t>
      </w:r>
      <w:r w:rsidR="00634087">
        <w:t>if they hadn’t seen the ad</w:t>
      </w:r>
      <w:r>
        <w:t xml:space="preserve">. </w:t>
      </w:r>
    </w:p>
    <w:p w:rsidR="00BF45B6" w:rsidRDefault="00634087" w:rsidP="00BF45B6">
      <w:r>
        <w:t>Incremental ROAS</w:t>
      </w:r>
      <w:r w:rsidR="00BF45B6">
        <w:t xml:space="preserve"> is calculated by first </w:t>
      </w:r>
      <w:r>
        <w:t>calculating Total ROAS, then calculating the Incremental Rate and then multiplying both of those to yield Incremental ROAS.  To calculate the incremental rate, you first have to normalize, or scale</w:t>
      </w:r>
      <w:r w:rsidR="00BF45B6">
        <w:t xml:space="preserve"> up the control to match the test’s size based on the ratio of </w:t>
      </w:r>
      <w:proofErr w:type="spellStart"/>
      <w:r w:rsidR="00BF45B6">
        <w:t>uniques</w:t>
      </w:r>
      <w:proofErr w:type="spellEnd"/>
      <w:r w:rsidR="00BF45B6">
        <w:t xml:space="preserve"> messaged in the test versus the control.  </w:t>
      </w:r>
      <w:r w:rsidR="00A21962">
        <w:t>Please a</w:t>
      </w:r>
      <w:r w:rsidR="00BF45B6">
        <w:t xml:space="preserve">ssume that for every unique user messaged in the control group, 18 unique users are messaged in the test group.  </w:t>
      </w:r>
    </w:p>
    <w:p w:rsidR="00BF45B6" w:rsidRDefault="00BF45B6" w:rsidP="00BF45B6">
      <w:r>
        <w:t xml:space="preserve">The below </w:t>
      </w:r>
      <w:r w:rsidR="00C620DA">
        <w:t xml:space="preserve">lays out </w:t>
      </w:r>
      <w:r>
        <w:t>steps necessary to measure Incremental ROAS:</w:t>
      </w:r>
    </w:p>
    <w:p w:rsidR="00634087" w:rsidRDefault="00634087" w:rsidP="00634087">
      <w:pPr>
        <w:jc w:val="center"/>
      </w:pPr>
      <w:r>
        <w:rPr>
          <w:noProof/>
        </w:rPr>
        <w:drawing>
          <wp:inline distT="0" distB="0" distL="0" distR="0" wp14:anchorId="6C79AAE2" wp14:editId="129D8B54">
            <wp:extent cx="6143217" cy="2087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37" cy="2093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433C" w:rsidRPr="00634087" w:rsidRDefault="00C7433C" w:rsidP="00634087">
      <w:r>
        <w:rPr>
          <w:b/>
        </w:rPr>
        <w:lastRenderedPageBreak/>
        <w:t>Available Data</w:t>
      </w:r>
    </w:p>
    <w:p w:rsidR="00C7433C" w:rsidRDefault="00C7433C">
      <w:r>
        <w:t>You have been provided a pathwa</w:t>
      </w:r>
      <w:r w:rsidR="005A12A2">
        <w:t>y file for the month of May 2015</w:t>
      </w:r>
      <w:r>
        <w:t xml:space="preserve"> that presents each unique path that ultimately resulted in at least one conversion based on the type of ads they were served.  The type</w:t>
      </w:r>
      <w:r w:rsidR="00723688">
        <w:t>s</w:t>
      </w:r>
      <w:r>
        <w:t xml:space="preserve"> of ads are categorized </w:t>
      </w:r>
      <w:r w:rsidR="00723688">
        <w:t>as follows</w:t>
      </w:r>
      <w:r>
        <w:t>:</w:t>
      </w:r>
    </w:p>
    <w:p w:rsidR="00723688" w:rsidRDefault="00C7433C" w:rsidP="00723688">
      <w:pPr>
        <w:pStyle w:val="ListParagraph"/>
        <w:numPr>
          <w:ilvl w:val="0"/>
          <w:numId w:val="1"/>
        </w:numPr>
      </w:pPr>
      <w:r w:rsidRPr="00723688">
        <w:rPr>
          <w:b/>
        </w:rPr>
        <w:t>E1w</w:t>
      </w:r>
      <w:r>
        <w:t xml:space="preserve"> </w:t>
      </w:r>
      <w:r w:rsidR="00723688">
        <w:tab/>
      </w:r>
      <w:r>
        <w:t>Remarketing on non-FBX sites</w:t>
      </w:r>
    </w:p>
    <w:p w:rsidR="00723688" w:rsidRDefault="00C7433C" w:rsidP="00723688">
      <w:pPr>
        <w:pStyle w:val="ListParagraph"/>
        <w:numPr>
          <w:ilvl w:val="0"/>
          <w:numId w:val="1"/>
        </w:numPr>
      </w:pPr>
      <w:r w:rsidRPr="00723688">
        <w:rPr>
          <w:b/>
        </w:rPr>
        <w:t>E1f</w:t>
      </w:r>
      <w:r>
        <w:t xml:space="preserve"> </w:t>
      </w:r>
      <w:r w:rsidR="00723688">
        <w:tab/>
      </w:r>
      <w:r>
        <w:t>Remarketing on FBX</w:t>
      </w:r>
    </w:p>
    <w:p w:rsidR="00723688" w:rsidRDefault="00C7433C" w:rsidP="00723688">
      <w:pPr>
        <w:pStyle w:val="ListParagraph"/>
        <w:numPr>
          <w:ilvl w:val="0"/>
          <w:numId w:val="1"/>
        </w:numPr>
      </w:pPr>
      <w:r w:rsidRPr="00723688">
        <w:rPr>
          <w:b/>
        </w:rPr>
        <w:t>E2w</w:t>
      </w:r>
      <w:r>
        <w:t xml:space="preserve"> </w:t>
      </w:r>
      <w:r w:rsidR="00723688">
        <w:tab/>
      </w:r>
      <w:r>
        <w:t>Retention on non-FBX sites</w:t>
      </w:r>
    </w:p>
    <w:p w:rsidR="00723688" w:rsidRDefault="00C7433C" w:rsidP="00723688">
      <w:pPr>
        <w:pStyle w:val="ListParagraph"/>
        <w:numPr>
          <w:ilvl w:val="0"/>
          <w:numId w:val="1"/>
        </w:numPr>
      </w:pPr>
      <w:r w:rsidRPr="00723688">
        <w:rPr>
          <w:b/>
        </w:rPr>
        <w:t>E2f</w:t>
      </w:r>
      <w:r w:rsidR="00723688">
        <w:tab/>
      </w:r>
      <w:r>
        <w:t xml:space="preserve">Retention on FBX </w:t>
      </w:r>
    </w:p>
    <w:p w:rsidR="00723688" w:rsidRDefault="00C7433C" w:rsidP="00723688">
      <w:pPr>
        <w:pStyle w:val="ListParagraph"/>
        <w:numPr>
          <w:ilvl w:val="0"/>
          <w:numId w:val="1"/>
        </w:numPr>
      </w:pPr>
      <w:r w:rsidRPr="00723688">
        <w:rPr>
          <w:b/>
        </w:rPr>
        <w:t>A3w</w:t>
      </w:r>
      <w:r w:rsidR="00723688">
        <w:tab/>
      </w:r>
      <w:r>
        <w:t>Re</w:t>
      </w:r>
      <w:r w:rsidR="00723688">
        <w:t>activation on non-FBX sites</w:t>
      </w:r>
    </w:p>
    <w:p w:rsidR="00723688" w:rsidRDefault="00723688" w:rsidP="00723688">
      <w:pPr>
        <w:pStyle w:val="ListParagraph"/>
        <w:numPr>
          <w:ilvl w:val="0"/>
          <w:numId w:val="1"/>
        </w:numPr>
      </w:pPr>
      <w:r w:rsidRPr="00723688">
        <w:rPr>
          <w:b/>
        </w:rPr>
        <w:t>A3f</w:t>
      </w:r>
      <w:r>
        <w:tab/>
        <w:t>Reactivation on FBX</w:t>
      </w:r>
    </w:p>
    <w:p w:rsidR="00723688" w:rsidRDefault="00723688" w:rsidP="00723688">
      <w:pPr>
        <w:pStyle w:val="ListParagraph"/>
        <w:numPr>
          <w:ilvl w:val="0"/>
          <w:numId w:val="1"/>
        </w:numPr>
      </w:pPr>
      <w:r w:rsidRPr="00723688">
        <w:rPr>
          <w:b/>
        </w:rPr>
        <w:t>A4w</w:t>
      </w:r>
      <w:r>
        <w:tab/>
        <w:t>Prospecting on non-FBX sites</w:t>
      </w:r>
    </w:p>
    <w:p w:rsidR="00C7433C" w:rsidRDefault="00723688" w:rsidP="00723688">
      <w:pPr>
        <w:pStyle w:val="ListParagraph"/>
        <w:numPr>
          <w:ilvl w:val="0"/>
          <w:numId w:val="1"/>
        </w:numPr>
      </w:pPr>
      <w:r w:rsidRPr="00723688">
        <w:rPr>
          <w:b/>
        </w:rPr>
        <w:t>A4f</w:t>
      </w:r>
      <w:r>
        <w:tab/>
        <w:t>Prospecting on FBX</w:t>
      </w:r>
    </w:p>
    <w:p w:rsidR="002719AB" w:rsidRDefault="002719AB" w:rsidP="002719A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NN</w:t>
      </w:r>
      <w:r w:rsidRPr="00723688">
        <w:rPr>
          <w:b/>
        </w:rPr>
        <w:t>f</w:t>
      </w:r>
      <w:proofErr w:type="spellEnd"/>
      <w:r>
        <w:tab/>
        <w:t>Other campaigns on non-FBX sites</w:t>
      </w:r>
    </w:p>
    <w:p w:rsidR="002719AB" w:rsidRDefault="002719AB" w:rsidP="002719A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NN</w:t>
      </w:r>
      <w:r w:rsidRPr="00723688">
        <w:rPr>
          <w:b/>
        </w:rPr>
        <w:t>f</w:t>
      </w:r>
      <w:proofErr w:type="spellEnd"/>
      <w:r>
        <w:tab/>
        <w:t>Other campaigns on FBX</w:t>
      </w:r>
    </w:p>
    <w:p w:rsidR="00080755" w:rsidRDefault="00080755" w:rsidP="00723688">
      <w:r w:rsidRPr="00080755">
        <w:t>A particular path is represented using those codes, separated by an arrow (&gt;).  For example, if a user was shown a Prospecting ad on CNN.com, then visited the brand’s website, then w</w:t>
      </w:r>
      <w:r w:rsidR="00634087">
        <w:t>as</w:t>
      </w:r>
      <w:r w:rsidRPr="00080755">
        <w:t xml:space="preserve"> served a remarketing ad on Facebook.com, a remarketing ad on ebay.com, and then came back to the site to place an order, the path would be represented as A4w &gt; E1f &gt; E1w.</w:t>
      </w:r>
    </w:p>
    <w:p w:rsidR="004E0365" w:rsidRDefault="002674B2" w:rsidP="00723688">
      <w:r>
        <w:t>The file includes one line per unique path, and includes the number of conversions</w:t>
      </w:r>
      <w:r w:rsidR="0022569A">
        <w:t>, sales and average order value (AOV)</w:t>
      </w:r>
      <w:r>
        <w:t xml:space="preserve"> for each path</w:t>
      </w:r>
      <w:r w:rsidR="0022569A">
        <w:t xml:space="preserve">.  </w:t>
      </w:r>
    </w:p>
    <w:p w:rsidR="0039773D" w:rsidRDefault="0039773D" w:rsidP="00723688">
      <w:r>
        <w:t xml:space="preserve">Each line </w:t>
      </w:r>
      <w:r w:rsidR="0022569A">
        <w:t xml:space="preserve">also includes the impressions per unique user (frequency) by </w:t>
      </w:r>
      <w:r>
        <w:t>type of ad</w:t>
      </w:r>
      <w:r w:rsidR="0022569A">
        <w:t xml:space="preserve">.  </w:t>
      </w:r>
      <w:r>
        <w:t xml:space="preserve">For example, the below line item means that this path was followed by 2,217 unique users who </w:t>
      </w:r>
      <w:r w:rsidR="004E0365">
        <w:t>were first served,</w:t>
      </w:r>
      <w:r>
        <w:t xml:space="preserve"> on average</w:t>
      </w:r>
      <w:r w:rsidR="004E0365">
        <w:t>,</w:t>
      </w:r>
      <w:r>
        <w:t xml:space="preserve"> 3.33 </w:t>
      </w:r>
      <w:r w:rsidR="004E0365">
        <w:t xml:space="preserve">A4w </w:t>
      </w:r>
      <w:r>
        <w:t xml:space="preserve">impressions </w:t>
      </w:r>
      <w:r w:rsidR="004E0365">
        <w:t xml:space="preserve">(Prospecting on non-FBX sites) and were then served, on average, 40.83 E1w impressions (Remarketing on non-FBX sites).  Therefore, 97,918 total impressions were served to the users who followed this path. </w:t>
      </w:r>
      <w:r w:rsidRPr="0039773D">
        <w:rPr>
          <w:noProof/>
        </w:rPr>
        <w:drawing>
          <wp:inline distT="0" distB="0" distL="0" distR="0" wp14:anchorId="50EB050A" wp14:editId="632D2EAA">
            <wp:extent cx="6286500" cy="254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776" w:rsidRDefault="00AE2776" w:rsidP="00723688">
      <w:r>
        <w:t xml:space="preserve">Finally, </w:t>
      </w:r>
      <w:r w:rsidR="007122EA">
        <w:t xml:space="preserve">most </w:t>
      </w:r>
      <w:r>
        <w:t>path</w:t>
      </w:r>
      <w:r w:rsidR="007122EA">
        <w:t>s</w:t>
      </w:r>
      <w:r>
        <w:t xml:space="preserve"> </w:t>
      </w:r>
      <w:r w:rsidR="007122EA">
        <w:t xml:space="preserve">are </w:t>
      </w:r>
      <w:r>
        <w:t xml:space="preserve">repeated for those in the test group and those in the control group.  In other words, the spreadsheet will have two lines for the </w:t>
      </w:r>
      <w:r w:rsidRPr="00723688">
        <w:rPr>
          <w:i/>
        </w:rPr>
        <w:t>A4w &gt; E1f</w:t>
      </w:r>
      <w:r>
        <w:rPr>
          <w:i/>
        </w:rPr>
        <w:t xml:space="preserve"> &gt; E1w </w:t>
      </w:r>
      <w:r w:rsidR="00D46962">
        <w:t>path</w:t>
      </w:r>
      <w:r>
        <w:t>; one for the test group</w:t>
      </w:r>
      <w:r w:rsidR="00D46962">
        <w:t>,</w:t>
      </w:r>
      <w:r>
        <w:t xml:space="preserve"> labeled with a T under the “T/C” field and another for the control group, labeled with a C.</w:t>
      </w:r>
      <w:r w:rsidR="007122EA">
        <w:t xml:space="preserve">  There will be cases where some particular paths were not replicated by the control… that’s ok.</w:t>
      </w:r>
    </w:p>
    <w:p w:rsidR="006B42FA" w:rsidRPr="006B42FA" w:rsidRDefault="006B42FA" w:rsidP="006B42FA">
      <w:pPr>
        <w:rPr>
          <w:b/>
        </w:rPr>
      </w:pPr>
      <w:r w:rsidRPr="006B42FA">
        <w:rPr>
          <w:b/>
        </w:rPr>
        <w:t>Attribution</w:t>
      </w:r>
    </w:p>
    <w:p w:rsidR="006B42FA" w:rsidRDefault="006B42FA" w:rsidP="006B42FA">
      <w:r>
        <w:t xml:space="preserve">In order to associate orders to the display </w:t>
      </w:r>
      <w:r w:rsidR="00922983">
        <w:t xml:space="preserve">channel </w:t>
      </w:r>
      <w:r>
        <w:t>and to a particular program, the standard methodology is based on a “last touch” basi</w:t>
      </w:r>
      <w:r w:rsidR="00922983">
        <w:t>s</w:t>
      </w:r>
      <w:r w:rsidR="00840944">
        <w:t xml:space="preserve">, which </w:t>
      </w:r>
      <w:r>
        <w:t xml:space="preserve">means that the last impression served before </w:t>
      </w:r>
      <w:r w:rsidR="00922983">
        <w:t xml:space="preserve">a </w:t>
      </w:r>
      <w:r>
        <w:t>conversion happen</w:t>
      </w:r>
      <w:r w:rsidR="00922983">
        <w:t>s</w:t>
      </w:r>
      <w:r>
        <w:t xml:space="preserve"> takes credit for </w:t>
      </w:r>
      <w:r w:rsidR="00922983">
        <w:t xml:space="preserve">100% of </w:t>
      </w:r>
      <w:r>
        <w:t>the sale</w:t>
      </w:r>
      <w:r w:rsidR="00840944">
        <w:t xml:space="preserve">, as long as </w:t>
      </w:r>
      <w:r w:rsidR="00922983">
        <w:t xml:space="preserve">the impression takes </w:t>
      </w:r>
      <w:r w:rsidR="00840944">
        <w:t xml:space="preserve">place at least 7 days prior to </w:t>
      </w:r>
      <w:r w:rsidR="00922983">
        <w:t xml:space="preserve">the </w:t>
      </w:r>
      <w:r w:rsidR="00840944">
        <w:t>conversion</w:t>
      </w:r>
      <w:r>
        <w:t xml:space="preserve">.  </w:t>
      </w:r>
      <w:r w:rsidR="00840944">
        <w:t xml:space="preserve">This </w:t>
      </w:r>
      <w:r>
        <w:t xml:space="preserve">methodology </w:t>
      </w:r>
      <w:r w:rsidR="00840944">
        <w:t xml:space="preserve">has its challenges </w:t>
      </w:r>
      <w:r>
        <w:t>since prospecting tends to serve impressions in the beginning of the conversion path (opener) while remarketing tends to serve towards the end of the conversion path (closer).</w:t>
      </w:r>
    </w:p>
    <w:p w:rsidR="00840944" w:rsidRDefault="00840944">
      <w:pPr>
        <w:rPr>
          <w:b/>
        </w:rPr>
      </w:pPr>
      <w:r>
        <w:rPr>
          <w:b/>
        </w:rPr>
        <w:br w:type="page"/>
      </w:r>
    </w:p>
    <w:p w:rsidR="006B42FA" w:rsidRPr="006B42FA" w:rsidRDefault="004F7E0C" w:rsidP="006B42FA">
      <w:pPr>
        <w:rPr>
          <w:b/>
        </w:rPr>
      </w:pPr>
      <w:r>
        <w:rPr>
          <w:b/>
        </w:rPr>
        <w:lastRenderedPageBreak/>
        <w:t>Project</w:t>
      </w:r>
    </w:p>
    <w:p w:rsidR="006B42FA" w:rsidRDefault="003E14CF" w:rsidP="004F7E0C">
      <w:pPr>
        <w:pStyle w:val="ListParagraph"/>
        <w:numPr>
          <w:ilvl w:val="0"/>
          <w:numId w:val="3"/>
        </w:numPr>
      </w:pPr>
      <w:r>
        <w:t>Please calculate the following metrics for Remarketing on non-FBX sites, Remarketing on FBX, Retention, and Prospecting</w:t>
      </w:r>
      <w:r w:rsidR="00750858">
        <w:t xml:space="preserve"> using the current </w:t>
      </w:r>
      <w:r w:rsidR="004F7E0C">
        <w:t xml:space="preserve">last-touch </w:t>
      </w:r>
      <w:r w:rsidR="00750858">
        <w:t>attribution methodology</w:t>
      </w:r>
      <w:r>
        <w:t>:</w:t>
      </w:r>
    </w:p>
    <w:p w:rsidR="003E14CF" w:rsidRDefault="00A21962" w:rsidP="003E14CF">
      <w:pPr>
        <w:pStyle w:val="ListParagraph"/>
        <w:numPr>
          <w:ilvl w:val="0"/>
          <w:numId w:val="2"/>
        </w:numPr>
      </w:pPr>
      <w:r>
        <w:t xml:space="preserve">Total </w:t>
      </w:r>
      <w:r w:rsidR="003E14CF">
        <w:t>ROAS</w:t>
      </w:r>
    </w:p>
    <w:p w:rsidR="003E14CF" w:rsidRDefault="003E14CF" w:rsidP="003E14CF">
      <w:pPr>
        <w:pStyle w:val="ListParagraph"/>
        <w:numPr>
          <w:ilvl w:val="0"/>
          <w:numId w:val="2"/>
        </w:numPr>
      </w:pPr>
      <w:r>
        <w:t xml:space="preserve">Incremental </w:t>
      </w:r>
      <w:r w:rsidR="00A21962">
        <w:t>rate</w:t>
      </w:r>
    </w:p>
    <w:p w:rsidR="003E14CF" w:rsidRDefault="003E14CF" w:rsidP="003E14CF">
      <w:pPr>
        <w:pStyle w:val="ListParagraph"/>
        <w:numPr>
          <w:ilvl w:val="0"/>
          <w:numId w:val="2"/>
        </w:numPr>
      </w:pPr>
      <w:r>
        <w:t xml:space="preserve">Incremental </w:t>
      </w:r>
      <w:r w:rsidR="00634087">
        <w:t>ROAS</w:t>
      </w:r>
      <w:r w:rsidR="004F7E0C">
        <w:br/>
      </w:r>
    </w:p>
    <w:p w:rsidR="004F7E0C" w:rsidRDefault="00750858" w:rsidP="00750858">
      <w:pPr>
        <w:pStyle w:val="ListParagraph"/>
        <w:numPr>
          <w:ilvl w:val="0"/>
          <w:numId w:val="3"/>
        </w:numPr>
      </w:pPr>
      <w:r>
        <w:t>Afterwards, re</w:t>
      </w:r>
      <w:r w:rsidR="004F7E0C">
        <w:t xml:space="preserve">-run </w:t>
      </w:r>
      <w:r w:rsidR="008235E9">
        <w:t xml:space="preserve">the </w:t>
      </w:r>
      <w:r w:rsidR="00840944">
        <w:t xml:space="preserve">analysis </w:t>
      </w:r>
      <w:r>
        <w:t>using a first</w:t>
      </w:r>
      <w:r w:rsidR="00840944">
        <w:t>-</w:t>
      </w:r>
      <w:r>
        <w:t>touch attribution model, meaning that the first impression in the path rec</w:t>
      </w:r>
      <w:r w:rsidR="008235E9">
        <w:t>eives credit for the conversion</w:t>
      </w:r>
    </w:p>
    <w:p w:rsidR="004F7E0C" w:rsidRDefault="004F7E0C" w:rsidP="0023786C">
      <w:pPr>
        <w:pStyle w:val="ListParagraph"/>
        <w:ind w:left="1440"/>
      </w:pPr>
    </w:p>
    <w:p w:rsidR="00634087" w:rsidRDefault="00634087" w:rsidP="004F7E0C">
      <w:pPr>
        <w:pStyle w:val="ListParagraph"/>
        <w:numPr>
          <w:ilvl w:val="0"/>
          <w:numId w:val="3"/>
        </w:numPr>
      </w:pPr>
      <w:r>
        <w:t>Prepare a deck that:</w:t>
      </w:r>
    </w:p>
    <w:p w:rsidR="0023786C" w:rsidRDefault="00634087" w:rsidP="00634087">
      <w:pPr>
        <w:pStyle w:val="ListParagraph"/>
        <w:numPr>
          <w:ilvl w:val="1"/>
          <w:numId w:val="3"/>
        </w:numPr>
      </w:pPr>
      <w:r>
        <w:t xml:space="preserve">Summarizes the above </w:t>
      </w:r>
      <w:r w:rsidR="0023786C">
        <w:t>results</w:t>
      </w:r>
    </w:p>
    <w:p w:rsidR="00634087" w:rsidRDefault="0023786C" w:rsidP="00634087">
      <w:pPr>
        <w:pStyle w:val="ListParagraph"/>
        <w:numPr>
          <w:ilvl w:val="1"/>
          <w:numId w:val="3"/>
        </w:numPr>
      </w:pPr>
      <w:r>
        <w:t>Tells a story and provides insights on the different methodologies analyzed and a recommendation to the client on next steps.  Things like…</w:t>
      </w:r>
    </w:p>
    <w:p w:rsidR="0023786C" w:rsidRDefault="0023786C" w:rsidP="0023786C">
      <w:pPr>
        <w:pStyle w:val="ListParagraph"/>
        <w:numPr>
          <w:ilvl w:val="2"/>
          <w:numId w:val="4"/>
        </w:numPr>
      </w:pPr>
      <w:r>
        <w:t>What changed?</w:t>
      </w:r>
    </w:p>
    <w:p w:rsidR="0023786C" w:rsidRDefault="0023786C" w:rsidP="0023786C">
      <w:pPr>
        <w:pStyle w:val="ListParagraph"/>
        <w:numPr>
          <w:ilvl w:val="2"/>
          <w:numId w:val="4"/>
        </w:numPr>
      </w:pPr>
      <w:r>
        <w:t xml:space="preserve">Which methodology </w:t>
      </w:r>
      <w:r w:rsidR="008235E9">
        <w:t xml:space="preserve">would you recommend </w:t>
      </w:r>
      <w:r>
        <w:t>for some or all the programs?</w:t>
      </w:r>
    </w:p>
    <w:p w:rsidR="0023786C" w:rsidRDefault="0023786C" w:rsidP="0023786C">
      <w:pPr>
        <w:pStyle w:val="ListParagraph"/>
        <w:numPr>
          <w:ilvl w:val="2"/>
          <w:numId w:val="4"/>
        </w:numPr>
      </w:pPr>
      <w:r>
        <w:t>Would you suggest an entirely different methodology?</w:t>
      </w:r>
      <w:r>
        <w:br/>
      </w:r>
    </w:p>
    <w:p w:rsidR="004F7E0C" w:rsidRDefault="004F7E0C" w:rsidP="00634087">
      <w:pPr>
        <w:pStyle w:val="ListParagraph"/>
        <w:numPr>
          <w:ilvl w:val="1"/>
          <w:numId w:val="3"/>
        </w:numPr>
      </w:pPr>
      <w:r>
        <w:t>Provide</w:t>
      </w:r>
      <w:r w:rsidR="0023786C">
        <w:t>s</w:t>
      </w:r>
      <w:r>
        <w:t xml:space="preserve"> a perspective on the top conversion </w:t>
      </w:r>
      <w:r w:rsidRPr="00634087">
        <w:rPr>
          <w:u w:val="single"/>
        </w:rPr>
        <w:t>paths</w:t>
      </w:r>
      <w:r>
        <w:t>, and any insights on performance for those paths.</w:t>
      </w:r>
      <w:r w:rsidR="00922983">
        <w:br/>
      </w:r>
    </w:p>
    <w:p w:rsidR="00922983" w:rsidRDefault="00922983" w:rsidP="004F7E0C">
      <w:pPr>
        <w:pStyle w:val="ListParagraph"/>
        <w:numPr>
          <w:ilvl w:val="0"/>
          <w:numId w:val="3"/>
        </w:numPr>
      </w:pPr>
      <w:r>
        <w:t>Please send back your results and the spreadsheet used to calculate your answers.</w:t>
      </w:r>
      <w:r>
        <w:br/>
      </w:r>
    </w:p>
    <w:p w:rsidR="004F7E0C" w:rsidRDefault="004F7E0C" w:rsidP="004F7E0C">
      <w:pPr>
        <w:rPr>
          <w:b/>
        </w:rPr>
      </w:pPr>
      <w:r w:rsidRPr="004F7E0C">
        <w:rPr>
          <w:b/>
        </w:rPr>
        <w:t>Assumptions</w:t>
      </w:r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2688"/>
        <w:gridCol w:w="2656"/>
        <w:gridCol w:w="2388"/>
        <w:gridCol w:w="2384"/>
      </w:tblGrid>
      <w:tr w:rsidR="004F7E0C" w:rsidTr="00A67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4F7E0C" w:rsidRPr="00840944" w:rsidRDefault="004F7E0C" w:rsidP="004F7E0C">
            <w:pPr>
              <w:rPr>
                <w:b w:val="0"/>
              </w:rPr>
            </w:pPr>
          </w:p>
        </w:tc>
        <w:tc>
          <w:tcPr>
            <w:tcW w:w="2656" w:type="dxa"/>
          </w:tcPr>
          <w:p w:rsidR="004F7E0C" w:rsidRPr="00840944" w:rsidRDefault="004F7E0C" w:rsidP="004F7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40944">
              <w:rPr>
                <w:b w:val="0"/>
              </w:rPr>
              <w:t>Impressions</w:t>
            </w:r>
          </w:p>
        </w:tc>
        <w:tc>
          <w:tcPr>
            <w:tcW w:w="2388" w:type="dxa"/>
          </w:tcPr>
          <w:p w:rsidR="004F7E0C" w:rsidRPr="00840944" w:rsidRDefault="004F7E0C" w:rsidP="004F7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40944">
              <w:rPr>
                <w:b w:val="0"/>
              </w:rPr>
              <w:t>CPM</w:t>
            </w:r>
          </w:p>
        </w:tc>
        <w:tc>
          <w:tcPr>
            <w:tcW w:w="2384" w:type="dxa"/>
          </w:tcPr>
          <w:p w:rsidR="004F7E0C" w:rsidRPr="00840944" w:rsidRDefault="004F7E0C" w:rsidP="004F7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40944">
              <w:rPr>
                <w:b w:val="0"/>
              </w:rPr>
              <w:t>Normalization Factor</w:t>
            </w:r>
          </w:p>
        </w:tc>
      </w:tr>
      <w:tr w:rsidR="004F7E0C" w:rsidTr="00A67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4F7E0C" w:rsidRDefault="004F7E0C" w:rsidP="004F7E0C">
            <w:r>
              <w:t>Remarketing on non-FBX</w:t>
            </w:r>
          </w:p>
        </w:tc>
        <w:tc>
          <w:tcPr>
            <w:tcW w:w="2656" w:type="dxa"/>
          </w:tcPr>
          <w:p w:rsidR="004F7E0C" w:rsidRDefault="004F7E0C" w:rsidP="004F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E0C">
              <w:t>8</w:t>
            </w:r>
            <w:r>
              <w:t>,</w:t>
            </w:r>
            <w:r w:rsidRPr="004F7E0C">
              <w:t>657</w:t>
            </w:r>
            <w:r>
              <w:t>,</w:t>
            </w:r>
            <w:r w:rsidRPr="004F7E0C">
              <w:t>435</w:t>
            </w:r>
          </w:p>
        </w:tc>
        <w:tc>
          <w:tcPr>
            <w:tcW w:w="2388" w:type="dxa"/>
          </w:tcPr>
          <w:p w:rsidR="004F7E0C" w:rsidRPr="004F7E0C" w:rsidRDefault="004F7E0C" w:rsidP="004F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$4.67</w:t>
            </w:r>
          </w:p>
        </w:tc>
        <w:tc>
          <w:tcPr>
            <w:tcW w:w="2384" w:type="dxa"/>
          </w:tcPr>
          <w:p w:rsidR="004F7E0C" w:rsidRDefault="004F7E0C" w:rsidP="004F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4F7E0C" w:rsidTr="00A67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4F7E0C" w:rsidRDefault="004F7E0C" w:rsidP="004F7E0C">
            <w:r>
              <w:t>Remarketing on FBX</w:t>
            </w:r>
          </w:p>
        </w:tc>
        <w:tc>
          <w:tcPr>
            <w:tcW w:w="2656" w:type="dxa"/>
          </w:tcPr>
          <w:p w:rsidR="004F7E0C" w:rsidRDefault="004F7E0C" w:rsidP="004F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E0C">
              <w:t>17</w:t>
            </w:r>
            <w:r>
              <w:t>,</w:t>
            </w:r>
            <w:r w:rsidRPr="004F7E0C">
              <w:t>898</w:t>
            </w:r>
            <w:r>
              <w:t>,</w:t>
            </w:r>
            <w:r w:rsidRPr="004F7E0C">
              <w:t>738</w:t>
            </w:r>
          </w:p>
        </w:tc>
        <w:tc>
          <w:tcPr>
            <w:tcW w:w="2388" w:type="dxa"/>
          </w:tcPr>
          <w:p w:rsidR="004F7E0C" w:rsidRPr="004F7E0C" w:rsidRDefault="004F7E0C" w:rsidP="004F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$1.25</w:t>
            </w:r>
          </w:p>
        </w:tc>
        <w:tc>
          <w:tcPr>
            <w:tcW w:w="2384" w:type="dxa"/>
          </w:tcPr>
          <w:p w:rsidR="004F7E0C" w:rsidRDefault="004F7E0C" w:rsidP="004F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4F7E0C" w:rsidTr="00A67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4F7E0C" w:rsidRDefault="004F7E0C" w:rsidP="004F7E0C">
            <w:r>
              <w:t>Retention</w:t>
            </w:r>
          </w:p>
        </w:tc>
        <w:tc>
          <w:tcPr>
            <w:tcW w:w="2656" w:type="dxa"/>
          </w:tcPr>
          <w:p w:rsidR="004F7E0C" w:rsidRDefault="004F7E0C" w:rsidP="004F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E0C">
              <w:t>2</w:t>
            </w:r>
            <w:r>
              <w:t>,</w:t>
            </w:r>
            <w:r w:rsidRPr="004F7E0C">
              <w:t>598</w:t>
            </w:r>
            <w:r>
              <w:t>,</w:t>
            </w:r>
            <w:r w:rsidRPr="004F7E0C">
              <w:t>798</w:t>
            </w:r>
          </w:p>
        </w:tc>
        <w:tc>
          <w:tcPr>
            <w:tcW w:w="2388" w:type="dxa"/>
          </w:tcPr>
          <w:p w:rsidR="004F7E0C" w:rsidRPr="004F7E0C" w:rsidRDefault="004F7E0C" w:rsidP="004F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$5.54</w:t>
            </w:r>
          </w:p>
        </w:tc>
        <w:tc>
          <w:tcPr>
            <w:tcW w:w="2384" w:type="dxa"/>
          </w:tcPr>
          <w:p w:rsidR="004F7E0C" w:rsidRDefault="004F7E0C" w:rsidP="004F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4F7E0C" w:rsidTr="00A67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4F7E0C" w:rsidRDefault="004F7E0C" w:rsidP="004F7E0C">
            <w:r>
              <w:t>Prospecting</w:t>
            </w:r>
          </w:p>
        </w:tc>
        <w:tc>
          <w:tcPr>
            <w:tcW w:w="2656" w:type="dxa"/>
          </w:tcPr>
          <w:p w:rsidR="004F7E0C" w:rsidRDefault="004F7E0C" w:rsidP="004F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E0C">
              <w:t>50</w:t>
            </w:r>
            <w:r>
              <w:t>,</w:t>
            </w:r>
            <w:r w:rsidRPr="004F7E0C">
              <w:t>879</w:t>
            </w:r>
            <w:r>
              <w:t>,</w:t>
            </w:r>
            <w:r w:rsidRPr="004F7E0C">
              <w:t>557</w:t>
            </w:r>
          </w:p>
        </w:tc>
        <w:tc>
          <w:tcPr>
            <w:tcW w:w="2388" w:type="dxa"/>
          </w:tcPr>
          <w:p w:rsidR="004F7E0C" w:rsidRPr="004F7E0C" w:rsidRDefault="004F7E0C" w:rsidP="004F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$2.34</w:t>
            </w:r>
          </w:p>
        </w:tc>
        <w:tc>
          <w:tcPr>
            <w:tcW w:w="2384" w:type="dxa"/>
          </w:tcPr>
          <w:p w:rsidR="004F7E0C" w:rsidRDefault="004F7E0C" w:rsidP="004F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</w:tbl>
    <w:p w:rsidR="004F7E0C" w:rsidRPr="00A67D8E" w:rsidRDefault="00A67D8E" w:rsidP="004F7E0C">
      <w:pPr>
        <w:rPr>
          <w:i/>
          <w:sz w:val="20"/>
        </w:rPr>
      </w:pPr>
      <w:r w:rsidRPr="00A67D8E">
        <w:rPr>
          <w:i/>
          <w:sz w:val="20"/>
        </w:rPr>
        <w:t>Note: A</w:t>
      </w:r>
      <w:r w:rsidRPr="00A67D8E">
        <w:rPr>
          <w:i/>
          <w:sz w:val="20"/>
        </w:rPr>
        <w:t>ll assumptions presented</w:t>
      </w:r>
      <w:r w:rsidRPr="00A67D8E">
        <w:rPr>
          <w:i/>
          <w:sz w:val="20"/>
        </w:rPr>
        <w:t xml:space="preserve"> in the above table should be used instead of calculating through the data</w:t>
      </w:r>
      <w:r>
        <w:rPr>
          <w:i/>
          <w:sz w:val="20"/>
        </w:rPr>
        <w:t xml:space="preserve"> </w:t>
      </w:r>
      <w:r w:rsidRPr="00A67D8E">
        <w:rPr>
          <w:i/>
          <w:sz w:val="20"/>
        </w:rPr>
        <w:t>set, since it only includes impressions and paths that led to a conversion.  All impressions that didn’t lead t</w:t>
      </w:r>
      <w:r>
        <w:rPr>
          <w:i/>
          <w:sz w:val="20"/>
        </w:rPr>
        <w:t>o a conversion are not included in the data set, hence why these assumptions are provided instead.</w:t>
      </w:r>
      <w:bookmarkStart w:id="0" w:name="_GoBack"/>
      <w:bookmarkEnd w:id="0"/>
    </w:p>
    <w:p w:rsidR="006B42FA" w:rsidRPr="00AE2776" w:rsidRDefault="006B42FA" w:rsidP="00723688"/>
    <w:sectPr w:rsidR="006B42FA" w:rsidRPr="00AE2776" w:rsidSect="00EE040F">
      <w:footerReference w:type="default" r:id="rId10"/>
      <w:pgSz w:w="12240" w:h="15840"/>
      <w:pgMar w:top="810" w:right="126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291" w:rsidRDefault="008F3291" w:rsidP="00FF7F3C">
      <w:pPr>
        <w:spacing w:after="0" w:line="240" w:lineRule="auto"/>
      </w:pPr>
      <w:r>
        <w:separator/>
      </w:r>
    </w:p>
  </w:endnote>
  <w:endnote w:type="continuationSeparator" w:id="0">
    <w:p w:rsidR="008F3291" w:rsidRDefault="008F3291" w:rsidP="00FF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F3C" w:rsidRDefault="00AD239D">
    <w:pPr>
      <w:pStyle w:val="Footer"/>
    </w:pPr>
    <w:proofErr w:type="spellStart"/>
    <w:r>
      <w:t>MediaMath</w:t>
    </w:r>
    <w:proofErr w:type="spellEnd"/>
    <w:r>
      <w:tab/>
      <w:t>Confidential</w:t>
    </w:r>
    <w:r w:rsidR="00FF7F3C">
      <w:ptab w:relativeTo="margin" w:alignment="right" w:leader="none"/>
    </w:r>
    <w:r w:rsidR="00FF7F3C">
      <w:t xml:space="preserve">Page | </w:t>
    </w:r>
    <w:r w:rsidR="00FF7F3C">
      <w:fldChar w:fldCharType="begin"/>
    </w:r>
    <w:r w:rsidR="00FF7F3C">
      <w:instrText xml:space="preserve"> PAGE   \* MERGEFORMAT </w:instrText>
    </w:r>
    <w:r w:rsidR="00FF7F3C">
      <w:fldChar w:fldCharType="separate"/>
    </w:r>
    <w:r w:rsidR="00A67D8E">
      <w:rPr>
        <w:noProof/>
      </w:rPr>
      <w:t>3</w:t>
    </w:r>
    <w:r w:rsidR="00FF7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291" w:rsidRDefault="008F3291" w:rsidP="00FF7F3C">
      <w:pPr>
        <w:spacing w:after="0" w:line="240" w:lineRule="auto"/>
      </w:pPr>
      <w:r>
        <w:separator/>
      </w:r>
    </w:p>
  </w:footnote>
  <w:footnote w:type="continuationSeparator" w:id="0">
    <w:p w:rsidR="008F3291" w:rsidRDefault="008F3291" w:rsidP="00FF7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D3B61"/>
    <w:multiLevelType w:val="hybridMultilevel"/>
    <w:tmpl w:val="B6F2E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E1372"/>
    <w:multiLevelType w:val="hybridMultilevel"/>
    <w:tmpl w:val="59B0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411B8"/>
    <w:multiLevelType w:val="hybridMultilevel"/>
    <w:tmpl w:val="E6A27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E45FCA"/>
    <w:multiLevelType w:val="hybridMultilevel"/>
    <w:tmpl w:val="3490C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CC"/>
    <w:rsid w:val="0000619A"/>
    <w:rsid w:val="000751CC"/>
    <w:rsid w:val="00080755"/>
    <w:rsid w:val="001955EA"/>
    <w:rsid w:val="0022569A"/>
    <w:rsid w:val="0023786C"/>
    <w:rsid w:val="002674B2"/>
    <w:rsid w:val="002719AB"/>
    <w:rsid w:val="00284BB5"/>
    <w:rsid w:val="002F1795"/>
    <w:rsid w:val="0033071B"/>
    <w:rsid w:val="0039773D"/>
    <w:rsid w:val="003E14CF"/>
    <w:rsid w:val="00496812"/>
    <w:rsid w:val="004E0365"/>
    <w:rsid w:val="004F7E0C"/>
    <w:rsid w:val="005A12A2"/>
    <w:rsid w:val="005D1D36"/>
    <w:rsid w:val="00634087"/>
    <w:rsid w:val="00636E60"/>
    <w:rsid w:val="00643770"/>
    <w:rsid w:val="00661C29"/>
    <w:rsid w:val="00674336"/>
    <w:rsid w:val="006A5059"/>
    <w:rsid w:val="006B42FA"/>
    <w:rsid w:val="007122EA"/>
    <w:rsid w:val="00723688"/>
    <w:rsid w:val="00737DF5"/>
    <w:rsid w:val="00750858"/>
    <w:rsid w:val="008235E9"/>
    <w:rsid w:val="00840944"/>
    <w:rsid w:val="008E073B"/>
    <w:rsid w:val="008F3291"/>
    <w:rsid w:val="00922983"/>
    <w:rsid w:val="009B05FD"/>
    <w:rsid w:val="009E672C"/>
    <w:rsid w:val="00A21962"/>
    <w:rsid w:val="00A4181C"/>
    <w:rsid w:val="00A60BBF"/>
    <w:rsid w:val="00A67D8E"/>
    <w:rsid w:val="00AD239D"/>
    <w:rsid w:val="00AE2776"/>
    <w:rsid w:val="00B64B0D"/>
    <w:rsid w:val="00BF45B6"/>
    <w:rsid w:val="00C259E4"/>
    <w:rsid w:val="00C365DB"/>
    <w:rsid w:val="00C620DA"/>
    <w:rsid w:val="00C7433C"/>
    <w:rsid w:val="00D46962"/>
    <w:rsid w:val="00E44AA7"/>
    <w:rsid w:val="00EE040F"/>
    <w:rsid w:val="00EF4573"/>
    <w:rsid w:val="00F039C4"/>
    <w:rsid w:val="00FB0A55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5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F3C"/>
  </w:style>
  <w:style w:type="paragraph" w:styleId="Footer">
    <w:name w:val="footer"/>
    <w:basedOn w:val="Normal"/>
    <w:link w:val="FooterChar"/>
    <w:uiPriority w:val="99"/>
    <w:unhideWhenUsed/>
    <w:rsid w:val="00FF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F3C"/>
  </w:style>
  <w:style w:type="table" w:styleId="LightShading-Accent1">
    <w:name w:val="Light Shading Accent 1"/>
    <w:basedOn w:val="TableNormal"/>
    <w:uiPriority w:val="60"/>
    <w:rsid w:val="008409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List-Accent1">
    <w:name w:val="Colorful List Accent 1"/>
    <w:basedOn w:val="TableNormal"/>
    <w:uiPriority w:val="72"/>
    <w:rsid w:val="0084094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661C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5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F3C"/>
  </w:style>
  <w:style w:type="paragraph" w:styleId="Footer">
    <w:name w:val="footer"/>
    <w:basedOn w:val="Normal"/>
    <w:link w:val="FooterChar"/>
    <w:uiPriority w:val="99"/>
    <w:unhideWhenUsed/>
    <w:rsid w:val="00FF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F3C"/>
  </w:style>
  <w:style w:type="table" w:styleId="LightShading-Accent1">
    <w:name w:val="Light Shading Accent 1"/>
    <w:basedOn w:val="TableNormal"/>
    <w:uiPriority w:val="60"/>
    <w:rsid w:val="008409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List-Accent1">
    <w:name w:val="Colorful List Accent 1"/>
    <w:basedOn w:val="TableNormal"/>
    <w:uiPriority w:val="72"/>
    <w:rsid w:val="0084094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661C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7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Gap inc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Porras</dc:creator>
  <cp:lastModifiedBy>Jason Porras</cp:lastModifiedBy>
  <cp:revision>5</cp:revision>
  <cp:lastPrinted>2016-06-15T16:25:00Z</cp:lastPrinted>
  <dcterms:created xsi:type="dcterms:W3CDTF">2016-07-27T17:54:00Z</dcterms:created>
  <dcterms:modified xsi:type="dcterms:W3CDTF">2016-09-07T15:25:00Z</dcterms:modified>
</cp:coreProperties>
</file>