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00E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欧洲各国电价结构复杂且差异巨大，尤其是从发电厂卖出的“批发电价”到最终客户账单上的零售电价之间，会经过很多环节。每个环节的组成和税费政策都不一样。</w:t>
      </w:r>
    </w:p>
    <w:p w14:paraId="3818E1FD">
      <w:pPr>
        <w:rPr>
          <w:rFonts w:hint="eastAsia"/>
          <w:lang w:val="en-US" w:eastAsia="zh-CN"/>
        </w:rPr>
      </w:pPr>
    </w:p>
    <w:p w14:paraId="7F36D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Entso-e提供了全欧统一的day-ahead市场价格，但也只是批发市场的原始电价，离客户最终支付的价格中间隔了好几层</w:t>
      </w:r>
    </w:p>
    <w:p w14:paraId="241F5D46">
      <w:pPr>
        <w:rPr>
          <w:rFonts w:hint="eastAsia"/>
          <w:lang w:val="en-US" w:eastAsia="zh-CN"/>
        </w:rPr>
      </w:pPr>
    </w:p>
    <w:p w14:paraId="185F1D61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电价结构层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896D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0" w:hRule="atLeast"/>
        </w:trPr>
        <w:tc>
          <w:tcPr>
            <w:tcW w:w="2130" w:type="dxa"/>
          </w:tcPr>
          <w:p w14:paraId="1C91AFF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层级</w:t>
            </w:r>
          </w:p>
        </w:tc>
        <w:tc>
          <w:tcPr>
            <w:tcW w:w="2130" w:type="dxa"/>
          </w:tcPr>
          <w:p w14:paraId="60B3A1A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谁收钱</w:t>
            </w:r>
          </w:p>
        </w:tc>
        <w:tc>
          <w:tcPr>
            <w:tcW w:w="2131" w:type="dxa"/>
          </w:tcPr>
          <w:p w14:paraId="624709D4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包含内容</w:t>
            </w:r>
          </w:p>
        </w:tc>
        <w:tc>
          <w:tcPr>
            <w:tcW w:w="2131" w:type="dxa"/>
          </w:tcPr>
          <w:p w14:paraId="7474E4F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ENTSO-E提供？</w:t>
            </w:r>
          </w:p>
        </w:tc>
      </w:tr>
      <w:tr w14:paraId="232DA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81206F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批发市场价</w:t>
            </w:r>
          </w:p>
        </w:tc>
        <w:tc>
          <w:tcPr>
            <w:tcW w:w="2130" w:type="dxa"/>
          </w:tcPr>
          <w:p w14:paraId="065B3DF6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发电商-&gt;批发市场/交易所</w:t>
            </w:r>
          </w:p>
        </w:tc>
        <w:tc>
          <w:tcPr>
            <w:tcW w:w="2131" w:type="dxa"/>
          </w:tcPr>
          <w:p w14:paraId="21DE506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发电厂出厂电价，纯市场机制决定（epex spot等）</w:t>
            </w:r>
          </w:p>
        </w:tc>
        <w:tc>
          <w:tcPr>
            <w:tcW w:w="2131" w:type="dxa"/>
          </w:tcPr>
          <w:p w14:paraId="7D4E7D17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</w:t>
            </w:r>
          </w:p>
        </w:tc>
      </w:tr>
      <w:tr w14:paraId="61864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2BC4307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 网络费</w:t>
            </w:r>
          </w:p>
        </w:tc>
        <w:tc>
          <w:tcPr>
            <w:tcW w:w="2130" w:type="dxa"/>
          </w:tcPr>
          <w:p w14:paraId="5ADB9D0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输电公司（TSO）&amp;配电公司（DSO）</w:t>
            </w:r>
          </w:p>
        </w:tc>
        <w:tc>
          <w:tcPr>
            <w:tcW w:w="2131" w:type="dxa"/>
          </w:tcPr>
          <w:p w14:paraId="6B26D02D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电网建设，维护成本，含输电，配电，平衡费</w:t>
            </w:r>
          </w:p>
        </w:tc>
        <w:tc>
          <w:tcPr>
            <w:tcW w:w="2131" w:type="dxa"/>
          </w:tcPr>
          <w:p w14:paraId="25EADAD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 w14:paraId="34705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719CA38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 税费&amp;附加费</w:t>
            </w:r>
          </w:p>
        </w:tc>
        <w:tc>
          <w:tcPr>
            <w:tcW w:w="2130" w:type="dxa"/>
          </w:tcPr>
          <w:p w14:paraId="2893ED75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国家财政或专项基金</w:t>
            </w:r>
          </w:p>
        </w:tc>
        <w:tc>
          <w:tcPr>
            <w:tcW w:w="2131" w:type="dxa"/>
          </w:tcPr>
          <w:p w14:paraId="40171826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增值税、可再生能源补贴、碳税、环保税、社会补贴等</w:t>
            </w:r>
          </w:p>
        </w:tc>
        <w:tc>
          <w:tcPr>
            <w:tcW w:w="2131" w:type="dxa"/>
          </w:tcPr>
          <w:p w14:paraId="638845F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</w:tbl>
    <w:p w14:paraId="209ECC1C">
      <w:pPr>
        <w:numPr>
          <w:numId w:val="0"/>
        </w:numPr>
        <w:rPr>
          <w:rFonts w:hint="default"/>
          <w:lang w:val="en-US" w:eastAsia="zh-CN"/>
        </w:rPr>
      </w:pPr>
    </w:p>
    <w:p w14:paraId="02829E70">
      <w:pPr>
        <w:numPr>
          <w:numId w:val="0"/>
        </w:numPr>
        <w:rPr>
          <w:rFonts w:hint="default"/>
          <w:lang w:val="en-US" w:eastAsia="zh-CN"/>
        </w:rPr>
      </w:pPr>
    </w:p>
    <w:p w14:paraId="4314C52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最终客户账单： 零售电价=批发价+网络费+税费附加费， 不同国家差异主要体现在二和三</w:t>
      </w:r>
    </w:p>
    <w:p w14:paraId="482255DA">
      <w:pPr>
        <w:numPr>
          <w:numId w:val="0"/>
        </w:numPr>
        <w:rPr>
          <w:rFonts w:hint="eastAsia"/>
          <w:lang w:val="en-US" w:eastAsia="zh-CN"/>
        </w:rPr>
      </w:pPr>
    </w:p>
    <w:p w14:paraId="5FB7175D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批发市场价 ENTSO-E数据的含义</w:t>
      </w:r>
    </w:p>
    <w:p w14:paraId="17746A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ENTSO-E Transparency Platform给出的价格通常是day-ahead spot price（日前市场电价），是发电厂在市场上卖出电力的‘裸价’</w:t>
      </w:r>
    </w:p>
    <w:p w14:paraId="37B78BB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</w:t>
      </w:r>
    </w:p>
    <w:p w14:paraId="4A21062B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每小时一个价格，24个点</w:t>
      </w:r>
    </w:p>
    <w:p w14:paraId="00D49035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纯市场供需决定，比如风光大、需求小-&gt;价格甚至可能为负</w:t>
      </w:r>
    </w:p>
    <w:p w14:paraId="5C2FC2BB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不包含输电费、配电费、任何税费</w:t>
      </w:r>
    </w:p>
    <w:p w14:paraId="64509622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49E746D">
      <w:pPr>
        <w:pStyle w:val="2"/>
        <w:keepNext w:val="0"/>
        <w:keepLines w:val="0"/>
        <w:widowControl/>
        <w:suppressLineNumbers w:val="0"/>
        <w:spacing w:line="240" w:lineRule="auto"/>
        <w:rPr>
          <w:rStyle w:val="6"/>
          <w:rFonts w:hint="eastAsia" w:ascii="宋体" w:hAnsi="宋体" w:eastAsia="宋体" w:cs="宋体"/>
          <w:b w:val="0"/>
          <w:bCs/>
          <w:sz w:val="20"/>
          <w:szCs w:val="20"/>
        </w:rPr>
      </w:pPr>
      <w:r>
        <w:rPr>
          <w:rStyle w:val="6"/>
          <w:rFonts w:hint="eastAsia" w:ascii="宋体" w:hAnsi="宋体" w:eastAsia="宋体" w:cs="宋体"/>
          <w:b w:val="0"/>
          <w:bCs/>
          <w:sz w:val="20"/>
          <w:szCs w:val="20"/>
        </w:rPr>
        <w:t>举例：德国 2025/09/05 18:00 的 Day-Ahead 价格</w:t>
      </w:r>
    </w:p>
    <w:p w14:paraId="302D1B0A">
      <w:pPr>
        <w:pStyle w:val="2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 w:val="0"/>
          <w:bCs/>
          <w:sz w:val="20"/>
          <w:szCs w:val="20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</w:rPr>
        <w:t>ENTSO-E 给出：60 €/MWh（0.06 €/kWh）</w:t>
      </w:r>
    </w:p>
    <w:p w14:paraId="793C0ACA">
      <w:pPr>
        <w:pStyle w:val="2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 w:val="0"/>
          <w:bCs/>
          <w:sz w:val="20"/>
          <w:szCs w:val="20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</w:rPr>
        <w:t>这意味着电厂卖电给市场是 6 欧分一度电，但客户账单绝不会这么低。</w:t>
      </w:r>
    </w:p>
    <w:p w14:paraId="4EB04A6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0" w:leftChars="0" w:firstLine="0" w:firstLineChars="0"/>
        <w:rPr>
          <w:rFonts w:hint="eastAsia" w:ascii="宋体" w:hAnsi="宋体" w:eastAsia="宋体" w:cs="宋体"/>
          <w:b/>
          <w:bCs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0"/>
          <w:szCs w:val="20"/>
          <w:lang w:val="en-US" w:eastAsia="zh-CN"/>
        </w:rPr>
        <w:t>网络费：因过差异巨大</w:t>
      </w:r>
    </w:p>
    <w:p w14:paraId="645696C5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因为电网结构、监管模式不同</w:t>
      </w:r>
    </w:p>
    <w:tbl>
      <w:tblPr>
        <w:tblStyle w:val="4"/>
        <w:tblW w:w="85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62"/>
        <w:gridCol w:w="3398"/>
        <w:gridCol w:w="4298"/>
      </w:tblGrid>
      <w:tr w14:paraId="09CBC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62" w:type="dxa"/>
          </w:tcPr>
          <w:p w14:paraId="546CAC4D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国家</w:t>
            </w:r>
          </w:p>
        </w:tc>
        <w:tc>
          <w:tcPr>
            <w:tcW w:w="3398" w:type="dxa"/>
          </w:tcPr>
          <w:p w14:paraId="4EFC34B1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网络费收取逻辑</w:t>
            </w:r>
          </w:p>
        </w:tc>
        <w:tc>
          <w:tcPr>
            <w:tcW w:w="4298" w:type="dxa"/>
          </w:tcPr>
          <w:p w14:paraId="6E6960AD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特点</w:t>
            </w:r>
          </w:p>
        </w:tc>
      </w:tr>
      <w:tr w14:paraId="4934D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62" w:type="dxa"/>
          </w:tcPr>
          <w:p w14:paraId="0ECFB6D3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德国</w:t>
            </w:r>
          </w:p>
        </w:tc>
        <w:tc>
          <w:tcPr>
            <w:tcW w:w="3398" w:type="dxa"/>
          </w:tcPr>
          <w:p w14:paraId="3A2481AB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联邦监管，DSO &amp; TSO收取</w:t>
            </w:r>
          </w:p>
        </w:tc>
        <w:tc>
          <w:tcPr>
            <w:tcW w:w="4298" w:type="dxa"/>
          </w:tcPr>
          <w:p w14:paraId="51050937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费用高且复杂，和用户位置、用电容量、尖峰电力挂钩</w:t>
            </w:r>
          </w:p>
        </w:tc>
      </w:tr>
      <w:tr w14:paraId="25540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62" w:type="dxa"/>
          </w:tcPr>
          <w:p w14:paraId="243CFE2C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荷兰</w:t>
            </w:r>
          </w:p>
        </w:tc>
        <w:tc>
          <w:tcPr>
            <w:tcW w:w="3398" w:type="dxa"/>
          </w:tcPr>
          <w:p w14:paraId="3555EF78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TSO(TenneT) +本地DSO分摊</w:t>
            </w:r>
          </w:p>
        </w:tc>
        <w:tc>
          <w:tcPr>
            <w:tcW w:w="4298" w:type="dxa"/>
          </w:tcPr>
          <w:p w14:paraId="6DA8F3D1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比较透明，公布标准费率，居民电价相对简单</w:t>
            </w:r>
          </w:p>
        </w:tc>
      </w:tr>
      <w:tr w14:paraId="784BB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62" w:type="dxa"/>
          </w:tcPr>
          <w:p w14:paraId="17F4F8D4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法国</w:t>
            </w:r>
          </w:p>
        </w:tc>
        <w:tc>
          <w:tcPr>
            <w:tcW w:w="3398" w:type="dxa"/>
          </w:tcPr>
          <w:p w14:paraId="0E166012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国家电网EDF主导</w:t>
            </w:r>
          </w:p>
        </w:tc>
        <w:tc>
          <w:tcPr>
            <w:tcW w:w="4298" w:type="dxa"/>
          </w:tcPr>
          <w:p w14:paraId="2326CC24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政府干预较大，部分低收入群体有优惠</w:t>
            </w:r>
          </w:p>
        </w:tc>
      </w:tr>
      <w:tr w14:paraId="3A584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2" w:hRule="atLeast"/>
        </w:trPr>
        <w:tc>
          <w:tcPr>
            <w:tcW w:w="862" w:type="dxa"/>
          </w:tcPr>
          <w:p w14:paraId="33A73F96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西班牙</w:t>
            </w:r>
          </w:p>
        </w:tc>
        <w:tc>
          <w:tcPr>
            <w:tcW w:w="3398" w:type="dxa"/>
          </w:tcPr>
          <w:p w14:paraId="584B9F26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电网+政府共同管理</w:t>
            </w:r>
          </w:p>
        </w:tc>
        <w:tc>
          <w:tcPr>
            <w:tcW w:w="4298" w:type="dxa"/>
          </w:tcPr>
          <w:p w14:paraId="3E90E62E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最近几年大力推动动态电价，居民能实时看到网络费变化</w:t>
            </w:r>
          </w:p>
        </w:tc>
      </w:tr>
    </w:tbl>
    <w:p w14:paraId="144495E5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rPr>
          <w:rFonts w:hint="default" w:ascii="宋体" w:hAnsi="宋体" w:eastAsia="宋体" w:cs="宋体"/>
          <w:b w:val="0"/>
          <w:bCs/>
          <w:sz w:val="20"/>
          <w:szCs w:val="20"/>
          <w:lang w:val="en-US" w:eastAsia="zh-CN"/>
        </w:rPr>
      </w:pPr>
    </w:p>
    <w:p w14:paraId="4412F603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right="0" w:rightChars="0" w:hanging="420" w:firstLineChars="0"/>
        <w:rPr>
          <w:rFonts w:hint="default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欧洲大部分国家网络费占到最终电价的25%-40%</w:t>
      </w:r>
    </w:p>
    <w:p w14:paraId="64FAAB69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right="0" w:rightChars="0" w:hanging="420" w:firstLineChars="0"/>
        <w:rPr>
          <w:rFonts w:hint="default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网络费通常是固定费+按量收费，即使不用电也要付一部分固定电表费</w:t>
      </w:r>
    </w:p>
    <w:p w14:paraId="6EBA8225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right="0" w:rightChars="0" w:hanging="420" w:firstLineChars="0"/>
        <w:rPr>
          <w:rFonts w:hint="default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高峰期、低谷期网络费差异也可能很大</w:t>
      </w:r>
    </w:p>
    <w:p w14:paraId="00761949">
      <w:pPr>
        <w:pStyle w:val="2"/>
        <w:keepNext w:val="0"/>
        <w:keepLines w:val="0"/>
        <w:widowControl/>
        <w:numPr>
          <w:numId w:val="0"/>
        </w:numPr>
        <w:suppressLineNumbers w:val="0"/>
        <w:tabs>
          <w:tab w:val="left" w:pos="836"/>
        </w:tabs>
        <w:spacing w:line="240" w:lineRule="auto"/>
        <w:ind w:leftChars="0" w:right="0" w:rightChars="0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</w:p>
    <w:p w14:paraId="31A2C5D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0" w:leftChars="0" w:right="0" w:rightChars="0" w:firstLine="0" w:firstLineChars="0"/>
        <w:rPr>
          <w:rFonts w:hint="eastAsia" w:ascii="宋体" w:hAnsi="宋体" w:eastAsia="宋体" w:cs="宋体"/>
          <w:b/>
          <w:bCs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0"/>
          <w:szCs w:val="20"/>
          <w:lang w:val="en-US" w:eastAsia="zh-CN"/>
        </w:rPr>
        <w:t>税费&amp;附加费：政策决定，差异巨大</w:t>
      </w:r>
    </w:p>
    <w:p w14:paraId="13D55B79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rPr>
          <w:rFonts w:hint="default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最复杂是这块，这部分常被用来支持国家能源政策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58FC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9B3DB83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税种</w:t>
            </w:r>
          </w:p>
        </w:tc>
        <w:tc>
          <w:tcPr>
            <w:tcW w:w="2841" w:type="dxa"/>
          </w:tcPr>
          <w:p w14:paraId="1A9FAC8C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作用</w:t>
            </w:r>
          </w:p>
        </w:tc>
        <w:tc>
          <w:tcPr>
            <w:tcW w:w="2841" w:type="dxa"/>
          </w:tcPr>
          <w:p w14:paraId="12B8FE5A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典型国家</w:t>
            </w:r>
          </w:p>
        </w:tc>
      </w:tr>
      <w:tr w14:paraId="0B281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2C185A6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增值税（VAT）</w:t>
            </w:r>
          </w:p>
        </w:tc>
        <w:tc>
          <w:tcPr>
            <w:tcW w:w="2841" w:type="dxa"/>
          </w:tcPr>
          <w:p w14:paraId="14353F0F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通用消费税，电费也要收</w:t>
            </w:r>
          </w:p>
        </w:tc>
        <w:tc>
          <w:tcPr>
            <w:tcW w:w="2841" w:type="dxa"/>
          </w:tcPr>
          <w:p w14:paraId="11D90AB3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欧盟国家普遍，通常5%~25%</w:t>
            </w:r>
          </w:p>
        </w:tc>
      </w:tr>
      <w:tr w14:paraId="7719E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8E3603D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可再生能源附加费（RES levy）</w:t>
            </w:r>
          </w:p>
        </w:tc>
        <w:tc>
          <w:tcPr>
            <w:tcW w:w="2841" w:type="dxa"/>
          </w:tcPr>
          <w:p w14:paraId="0D3EC2EC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补贴风电、光伏</w:t>
            </w:r>
          </w:p>
        </w:tc>
        <w:tc>
          <w:tcPr>
            <w:tcW w:w="2841" w:type="dxa"/>
          </w:tcPr>
          <w:p w14:paraId="271A935A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德国、丹麦曾非常高</w:t>
            </w:r>
          </w:p>
        </w:tc>
      </w:tr>
      <w:tr w14:paraId="32927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44DE170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碳税（Carbon tax）</w:t>
            </w:r>
          </w:p>
        </w:tc>
        <w:tc>
          <w:tcPr>
            <w:tcW w:w="2841" w:type="dxa"/>
          </w:tcPr>
          <w:p w14:paraId="585D7A75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控制碳排放</w:t>
            </w:r>
          </w:p>
        </w:tc>
        <w:tc>
          <w:tcPr>
            <w:tcW w:w="2841" w:type="dxa"/>
          </w:tcPr>
          <w:p w14:paraId="0F202D3F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瑞典、芬兰、法国</w:t>
            </w:r>
          </w:p>
        </w:tc>
      </w:tr>
      <w:tr w14:paraId="10E71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24F658D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社会补贴费（Social levy）</w:t>
            </w:r>
          </w:p>
        </w:tc>
        <w:tc>
          <w:tcPr>
            <w:tcW w:w="2841" w:type="dxa"/>
          </w:tcPr>
          <w:p w14:paraId="26883AFC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补贴低收入群体</w:t>
            </w:r>
          </w:p>
        </w:tc>
        <w:tc>
          <w:tcPr>
            <w:tcW w:w="2841" w:type="dxa"/>
          </w:tcPr>
          <w:p w14:paraId="72E946AE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法国、西班牙</w:t>
            </w:r>
          </w:p>
        </w:tc>
      </w:tr>
    </w:tbl>
    <w:p w14:paraId="6AC892A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案例：德国 2021</w:t>
      </w:r>
    </w:p>
    <w:p w14:paraId="3519DEA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批发价：5~10 欧分/kWh</w:t>
      </w:r>
    </w:p>
    <w:p w14:paraId="1C1DD7D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可再生能源附加费：6.5 欧分/kWh</w:t>
      </w:r>
    </w:p>
    <w:p w14:paraId="4EDD7B9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网络费：7 欧分/kWh</w:t>
      </w:r>
    </w:p>
    <w:p w14:paraId="3FE6392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增值税：19%</w:t>
      </w: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最终账单：30 欧分/kWh（是批发价的 3-6 倍！）</w:t>
      </w:r>
    </w:p>
    <w:p w14:paraId="05767C2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</w:p>
    <w:p w14:paraId="18F820C1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420" w:leftChars="0" w:right="0" w:rightChars="0" w:hanging="420" w:firstLine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西班牙是全欧洲最透明最纯粹的动态电价国家，用户是可以直接看到最终零售价，每天晚上20:15发布次日24小时电价（含全部费用），基本客户直接跟随批发市场</w:t>
      </w:r>
    </w:p>
    <w:p w14:paraId="510850DF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420" w:leftChars="0" w:right="0" w:rightChars="0" w:hanging="420" w:firstLine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荷兰也先对透明，只是在EPEX SPOT上多了一层固定网络费和税费，用户账单透明，适合动态调节</w:t>
      </w:r>
    </w:p>
    <w:p w14:paraId="283DC8B4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420" w:leftChars="0" w:right="0" w:rightChars="0" w:hanging="420" w:firstLineChars="0"/>
        <w:jc w:val="left"/>
        <w:rPr>
          <w:rFonts w:hint="default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法国和多国相对复杂，最终账单和批发价不直接关联</w:t>
      </w:r>
    </w:p>
    <w:p w14:paraId="550D23B6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</w:p>
    <w:p w14:paraId="6BE89A7F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ENTSO-E数据是比较统一，所有国家可比，适合做算法模型、预测的基础输入，但因为B和C才是最难搞到底，公开透明好说。。不公开透明难度直线上升。技术无法凭空推导出最终电价，我们只能借助别人</w:t>
      </w:r>
    </w:p>
    <w:p w14:paraId="5C5B8D3A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就像是之前说的，先合作验证，快速上线， 后续才是部分自己做预测，但依然是外部API主导，最后才是说完全自研模型+硬件+全链路系统。外部API都没接上。。提最后太遥远。</w:t>
      </w:r>
    </w:p>
    <w:p w14:paraId="0E8C5778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</w:p>
    <w:p w14:paraId="756F174F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自研需要：</w:t>
      </w:r>
    </w:p>
    <w:p w14:paraId="2E1C8F12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Chars="0" w:right="0" w:rightChars="0"/>
        <w:jc w:val="left"/>
        <w:rPr>
          <w:rFonts w:hint="default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数据层：采集与历史建模</w:t>
      </w:r>
    </w:p>
    <w:p w14:paraId="6A735038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目标是理解家庭能源行为，预测发电和用电情况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F37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544AE5C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jc w:val="left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模型</w:t>
            </w:r>
          </w:p>
        </w:tc>
        <w:tc>
          <w:tcPr>
            <w:tcW w:w="2841" w:type="dxa"/>
          </w:tcPr>
          <w:p w14:paraId="73B6480D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jc w:val="left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输入数据</w:t>
            </w:r>
          </w:p>
        </w:tc>
        <w:tc>
          <w:tcPr>
            <w:tcW w:w="2841" w:type="dxa"/>
          </w:tcPr>
          <w:p w14:paraId="3BA7D16C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jc w:val="left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输出</w:t>
            </w:r>
          </w:p>
        </w:tc>
      </w:tr>
      <w:tr w14:paraId="04FEB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6E97778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jc w:val="left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历史发电模型</w:t>
            </w:r>
          </w:p>
        </w:tc>
        <w:tc>
          <w:tcPr>
            <w:tcW w:w="2841" w:type="dxa"/>
          </w:tcPr>
          <w:p w14:paraId="3225AEBE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jc w:val="left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光伏发电历史数据+天气历史数据+设备状态</w:t>
            </w:r>
          </w:p>
        </w:tc>
        <w:tc>
          <w:tcPr>
            <w:tcW w:w="2841" w:type="dxa"/>
          </w:tcPr>
          <w:p w14:paraId="14194F50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jc w:val="left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预测未来发电量</w:t>
            </w:r>
          </w:p>
        </w:tc>
      </w:tr>
      <w:tr w14:paraId="0FBE3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06324AC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jc w:val="left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用户用电模型</w:t>
            </w:r>
          </w:p>
        </w:tc>
        <w:tc>
          <w:tcPr>
            <w:tcW w:w="2841" w:type="dxa"/>
          </w:tcPr>
          <w:p w14:paraId="2FC13DD3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jc w:val="left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用户电表数据+家庭用电习惯（时/天/周）</w:t>
            </w:r>
          </w:p>
        </w:tc>
        <w:tc>
          <w:tcPr>
            <w:tcW w:w="2841" w:type="dxa"/>
          </w:tcPr>
          <w:p w14:paraId="2D9B87AF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jc w:val="left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预测用户未来用电曲线</w:t>
            </w:r>
          </w:p>
        </w:tc>
      </w:tr>
      <w:tr w14:paraId="729F9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DA5BD4B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jc w:val="left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电价预测模型</w:t>
            </w:r>
          </w:p>
        </w:tc>
        <w:tc>
          <w:tcPr>
            <w:tcW w:w="2841" w:type="dxa"/>
          </w:tcPr>
          <w:p w14:paraId="22A245FA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jc w:val="left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历史批发价+政策+季节</w:t>
            </w:r>
          </w:p>
        </w:tc>
        <w:tc>
          <w:tcPr>
            <w:tcW w:w="2841" w:type="dxa"/>
          </w:tcPr>
          <w:p w14:paraId="40386A4A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jc w:val="left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预测价格趋势</w:t>
            </w:r>
          </w:p>
        </w:tc>
      </w:tr>
      <w:tr w14:paraId="16BA3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B39B1C0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jc w:val="left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电池SOC模型</w:t>
            </w:r>
          </w:p>
        </w:tc>
        <w:tc>
          <w:tcPr>
            <w:tcW w:w="2841" w:type="dxa"/>
          </w:tcPr>
          <w:p w14:paraId="4066A5B2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jc w:val="left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电池充放电效率+温度+寿命曲线</w:t>
            </w:r>
          </w:p>
        </w:tc>
        <w:tc>
          <w:tcPr>
            <w:tcW w:w="2841" w:type="dxa"/>
          </w:tcPr>
          <w:p w14:paraId="0FC3C838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right="0" w:rightChars="0"/>
              <w:jc w:val="left"/>
              <w:rPr>
                <w:rFonts w:hint="default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  <w:vertAlign w:val="baseline"/>
                <w:lang w:val="en-US" w:eastAsia="zh-CN"/>
              </w:rPr>
              <w:t>预测电池状态，防止过充过放</w:t>
            </w:r>
          </w:p>
        </w:tc>
      </w:tr>
    </w:tbl>
    <w:p w14:paraId="5FC155A0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决策层：智能调度策略</w:t>
      </w:r>
    </w:p>
    <w:p w14:paraId="32C04FB7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将数据输入到一个优化算法中，实时决定“何时充电、何时放电”</w:t>
      </w:r>
    </w:p>
    <w:p w14:paraId="27D9FD4B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需要考虑：</w:t>
      </w:r>
    </w:p>
    <w:p w14:paraId="617D9E14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当前实时电价（动态波动）</w:t>
      </w:r>
    </w:p>
    <w:p w14:paraId="241569E1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未来预测电价</w:t>
      </w:r>
    </w:p>
    <w:p w14:paraId="4120C0FF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用户未来用电需求</w:t>
      </w:r>
    </w:p>
    <w:p w14:paraId="73084B4F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电池当前状态+寿命</w:t>
      </w:r>
    </w:p>
    <w:p w14:paraId="57D415D4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智能家居设备状态，天气预测</w:t>
      </w:r>
    </w:p>
    <w:p w14:paraId="6BD505AF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应用层：云平台+用户体验</w:t>
      </w:r>
    </w:p>
    <w:p w14:paraId="5B42394B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最终用户看到APP，WEB和报表</w:t>
      </w:r>
    </w:p>
    <w:p w14:paraId="7A69FFBC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云平台稳定，可视化，家庭设备接入</w:t>
      </w:r>
    </w:p>
    <w:p w14:paraId="1B457528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</w:p>
    <w:p w14:paraId="6DC3ABD4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</w:p>
    <w:p w14:paraId="7E7DE8A7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目前就是通过合作拿到市场，收集真实用户数据-&gt;数据反哺产品-&gt;积累到一定体量后才谈自研，他们那些第三方平台都是只卖算法，完全依赖合作伙伴提供硬件+数据，希望大家明白先有驾驶证再才能开特斯拉</w:t>
      </w:r>
    </w:p>
    <w:p w14:paraId="31C85997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合作就是：</w:t>
      </w:r>
    </w:p>
    <w:p w14:paraId="02B222A1"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420" w:leftChars="0" w:right="0" w:rightChars="0" w:hanging="420" w:firstLineChars="0"/>
        <w:jc w:val="left"/>
        <w:rPr>
          <w:rFonts w:hint="default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收集真实数据，用户实际的充放电记录</w:t>
      </w:r>
    </w:p>
    <w:p w14:paraId="732DB97D"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420" w:leftChars="0" w:right="0" w:rightChars="0" w:hanging="420" w:firstLineChars="0"/>
        <w:jc w:val="left"/>
        <w:rPr>
          <w:rFonts w:hint="default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不同国家的电价波动</w:t>
      </w:r>
    </w:p>
    <w:p w14:paraId="4A2572C3"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420" w:leftChars="0" w:right="0" w:rightChars="0" w:hanging="420" w:firstLineChars="0"/>
        <w:jc w:val="left"/>
        <w:rPr>
          <w:rFonts w:hint="default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不同安装场景的设备状态</w:t>
      </w:r>
      <w:bookmarkStart w:id="0" w:name="_GoBack"/>
      <w:bookmarkEnd w:id="0"/>
    </w:p>
    <w:p w14:paraId="53301B52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</w:p>
    <w:p w14:paraId="12E454C2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default" w:ascii="宋体" w:hAnsi="宋体" w:eastAsia="宋体" w:cs="宋体"/>
          <w:b w:val="0"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  <w:t>通过对接第三方API，理解业务流程，为后续替换自研做准备</w:t>
      </w:r>
    </w:p>
    <w:p w14:paraId="453C20B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eastAsia" w:ascii="宋体" w:hAnsi="宋体" w:eastAsia="宋体" w:cs="宋体"/>
          <w:b w:val="0"/>
          <w:bCs/>
          <w:sz w:val="20"/>
          <w:szCs w:val="20"/>
          <w:lang w:val="en-US" w:eastAsia="zh-CN"/>
        </w:rPr>
      </w:pPr>
    </w:p>
    <w:p w14:paraId="6FD05E1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default" w:ascii="宋体" w:hAnsi="宋体" w:eastAsia="宋体" w:cs="宋体"/>
          <w:b w:val="0"/>
          <w:bCs/>
          <w:sz w:val="20"/>
          <w:szCs w:val="20"/>
          <w:lang w:val="en-US" w:eastAsia="zh-CN"/>
        </w:rPr>
      </w:pPr>
    </w:p>
    <w:p w14:paraId="4BD6086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 w:right="0" w:rightChars="0"/>
        <w:jc w:val="left"/>
        <w:rPr>
          <w:rFonts w:hint="default" w:ascii="宋体" w:hAnsi="宋体" w:eastAsia="宋体" w:cs="宋体"/>
          <w:b w:val="0"/>
          <w:bCs/>
          <w:sz w:val="20"/>
          <w:szCs w:val="20"/>
          <w:lang w:val="en-US" w:eastAsia="zh-CN"/>
        </w:rPr>
      </w:pPr>
    </w:p>
    <w:p w14:paraId="12B4BE6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90B18D"/>
    <w:multiLevelType w:val="singleLevel"/>
    <w:tmpl w:val="8990B18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46DB675"/>
    <w:multiLevelType w:val="singleLevel"/>
    <w:tmpl w:val="C46DB67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E0BB9F9"/>
    <w:multiLevelType w:val="singleLevel"/>
    <w:tmpl w:val="CE0BB9F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1382FA53"/>
    <w:multiLevelType w:val="singleLevel"/>
    <w:tmpl w:val="1382FA53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3C2454B5"/>
    <w:multiLevelType w:val="singleLevel"/>
    <w:tmpl w:val="3C2454B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7DF12331"/>
    <w:multiLevelType w:val="singleLevel"/>
    <w:tmpl w:val="7DF12331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206A56"/>
    <w:rsid w:val="02F2074D"/>
    <w:rsid w:val="04CC3051"/>
    <w:rsid w:val="05121CD7"/>
    <w:rsid w:val="13293E04"/>
    <w:rsid w:val="15501FC3"/>
    <w:rsid w:val="1642543E"/>
    <w:rsid w:val="16586338"/>
    <w:rsid w:val="214A4610"/>
    <w:rsid w:val="23D86197"/>
    <w:rsid w:val="26A160ED"/>
    <w:rsid w:val="279B1E5B"/>
    <w:rsid w:val="2A2661FC"/>
    <w:rsid w:val="2F0C0E36"/>
    <w:rsid w:val="2FF60385"/>
    <w:rsid w:val="304B1562"/>
    <w:rsid w:val="3158543D"/>
    <w:rsid w:val="326956E2"/>
    <w:rsid w:val="35631DDF"/>
    <w:rsid w:val="36F028EF"/>
    <w:rsid w:val="3E9C5546"/>
    <w:rsid w:val="40644F5E"/>
    <w:rsid w:val="42142CD5"/>
    <w:rsid w:val="423F426E"/>
    <w:rsid w:val="46887297"/>
    <w:rsid w:val="48513D48"/>
    <w:rsid w:val="485207D6"/>
    <w:rsid w:val="48A95C29"/>
    <w:rsid w:val="519C1ABF"/>
    <w:rsid w:val="52206A56"/>
    <w:rsid w:val="5475693F"/>
    <w:rsid w:val="60037A11"/>
    <w:rsid w:val="605A6027"/>
    <w:rsid w:val="607F4EA4"/>
    <w:rsid w:val="60EF0F8C"/>
    <w:rsid w:val="65306CDE"/>
    <w:rsid w:val="67505F45"/>
    <w:rsid w:val="67CF602F"/>
    <w:rsid w:val="6E77162C"/>
    <w:rsid w:val="6FF33AE4"/>
    <w:rsid w:val="7A00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2025-09-05T01:12:00Z</dcterms:created>
  <dc:creator>WPS_1700008450</dc:creator>
  <cp:lastModifiedBy>WPS_1700008450</cp:lastModifiedBy>
  <dcterms:modified xsi:type="dcterms:W3CDTF">2025-09-05T02:42:16Z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21704C120BFB42BBBFBA4A39357ED352_11</vt:lpwstr>
  </property>
  <property fmtid="{D5CDD505-2E9C-101B-9397-08002B2CF9AE}" pid="4" name="KSOTemplateDocerSaveRecord">
    <vt:lpwstr>eyJoZGlkIjoiMGE4YTM3ZmIwMmQzNmI1OTk2ZTJkODE3YzA0NTc5MmQiLCJ1c2VySWQiOiIxNTU4NDcyMDkzIn0=</vt:lpwstr>
  </property>
</Properties>
</file>