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Neutralized factor correlation</w:t>
      </w:r>
    </w:p>
    <w:p>
      <w:pPr>
        <w:pStyle w:val="Heading1"/>
      </w:pPr>
      <w:r>
        <w:t>一、Factor library screening rules</w:t>
      </w:r>
    </w:p>
    <w:p>
      <w:r>
        <w:t>1.Neutralization rules:</w:t>
        <w:br/>
        <w:t xml:space="preserve">        Barra factors are only neutralized for industry and market capitalization;</w:t>
        <w:br/>
        <w:t xml:space="preserve">        Both technical indicators and fundamental factors are neutralized for industry, market capitalization, and Barra factors,Among them, Barra neutralization is applied to Barra factors with a correlation above 0.3</w:t>
        <w:br/>
      </w:r>
    </w:p>
    <w:p>
      <w:r>
        <w:t>2. Correlation screening rules:</w:t>
        <w:br/>
        <w:t xml:space="preserve">        Factors with a correlation greater than 0.9 are considered identical and removed, while the factor with the higher long-short backtest Sharpe ratio is retained.</w:t>
        <w:br/>
      </w:r>
    </w:p>
    <w:p>
      <w:r>
        <w:t>3.Factor indicator screening rules:</w:t>
        <w:br/>
        <w:t xml:space="preserve">        Barra factors: The mean RankIC must be greater than 0.01, the t-value must be greater than 1.96, and the directional consistency probability must be greater than 0.5.The annualized return of the factor long-short portfolio must be greater than 0.03, the t-value must be greater than 1.96, the Sharpe ratio must be greater than 0.6, and the win rate must be greater than 0.5.</w:t>
        <w:br/>
        <w:t xml:space="preserve">        Technical factors: The mean RankIC must be greater than 0.03, the t-value must be greater than 2.58, and the directional consistency probability must be greater than 0.5.The annualized return of the factor long-short portfolio must be greater than 0.15, the t-value must be greater than 2.58, the Sharpe ratio must be greater than 1.2, and the win rate must be greater than 0.5.</w:t>
        <w:br/>
        <w:t xml:space="preserve">        Fundamental factors: The mean RankIC must be greater than 0.01, the t-value must be greater than 1.64, and the directional consistency probability must be greater than 0.5.The annualized return of the factor long-short portfolio must be greater than 0.08, the t-value must be greater than 1.64, the Sharpe ratio must be greater than 0.3, and the win rate must be greater than 0.4.</w:t>
        <w:br/>
      </w:r>
    </w:p>
    <w:p>
      <w:pPr>
        <w:pStyle w:val="Heading1"/>
      </w:pPr>
      <w:r>
        <w:t>二、Neutralized factor correlation</w:t>
      </w:r>
    </w:p>
    <w:p>
      <w:pPr>
        <w:pStyle w:val="Heading2"/>
      </w:pPr>
      <w:r>
        <w:t>Heatmap of factor correlations after neutralization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601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相关性热力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二、Factor performance</w:t>
      </w:r>
    </w:p>
    <w:p>
      <w:pPr>
        <w:pStyle w:val="Heading2"/>
      </w:pPr>
      <w:r>
        <w:t>1、Barra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2"/>
      </w:pPr>
      <w:r>
        <w:t>2、Technical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2"/>
      </w:pPr>
      <w:r>
        <w:t>3、Fundamental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1"/>
      </w:pPr>
      <w:r>
        <w:t>三、Factor screening results</w:t>
      </w:r>
    </w:p>
    <w:p>
      <w:pPr>
        <w:pStyle w:val="Heading3"/>
      </w:pPr>
      <w:r>
        <w:t>(1) Selected factor performance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</w:tbl>
    <w:p>
      <w:pPr>
        <w:pStyle w:val="Heading3"/>
      </w:pPr>
      <w:r>
        <w:t>(2) Reasons for the exclusion of unselected factors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469"/>
        <w:gridCol w:w="4469"/>
        <w:gridCol w:w="4469"/>
      </w:tblGrid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未通过原因</w:t>
            </w:r>
          </w:p>
        </w:tc>
      </w:tr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bbi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技术面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因子RankIC的均值过低；因子多空组合收益率过低；因子多空组合夏普比过低；</w:t>
            </w:r>
          </w:p>
        </w:tc>
      </w:tr>
      <w:tr>
        <w:trPr>
          <w:trHeight w:val="360"/>
        </w:trPr>
        <w:tc>
          <w:tcPr>
            <w:tcW w:type="dxa" w:w="3840"/>
            <w:vAlign w:val="center"/>
          </w:tcPr>
          <w:p>
            <w:pPr>
              <w:jc w:val="center"/>
            </w:pPr>
            <w:r>
              <w:t>fin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技术面</w:t>
            </w:r>
          </w:p>
        </w:tc>
        <w:tc>
          <w:tcPr>
            <w:tcW w:type="dxa" w:w="3840"/>
            <w:vAlign w:val="center"/>
          </w:tcPr>
          <w:p>
            <w:pPr>
              <w:jc w:val="center"/>
            </w:pPr>
            <w:r>
              <w:t>因子RankIC的均值过低；因子RankIC的t值过低；因子多空组合收益率过低；因子多空收益率的t值过低；因子多空组合夏普比过低；因子多空组合胜率过低；</w:t>
            </w:r>
          </w:p>
        </w:tc>
      </w:tr>
    </w:tbl>
    <w:p>
      <w:pPr>
        <w:pStyle w:val="Heading1"/>
      </w:pPr>
      <w:r>
        <w:t>四、Individual factor performance</w:t>
      </w:r>
    </w:p>
    <w:p>
      <w:pPr>
        <w:pStyle w:val="Heading2"/>
      </w:pPr>
      <w:r>
        <w:t>1、bbi factor performance</w:t>
      </w:r>
    </w:p>
    <w:p>
      <w:pPr>
        <w:pStyle w:val="Heading3"/>
      </w:pPr>
      <w:r>
        <w:t>(1) Return backtest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bbi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97.18%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2.89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0.0039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44.25%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14.93%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40.82%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51.28%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4.6%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5.74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0.67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53.5%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37.54%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1.58%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1.54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0.18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47.22%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93.35%</w:t>
            </w:r>
          </w:p>
        </w:tc>
      </w:tr>
    </w:tbl>
    <w:p>
      <w:pPr>
        <w:pStyle w:val="Heading3"/>
      </w:pPr>
      <w:r>
        <w:t>(2) Top 10 factor correlations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704"/>
        <w:gridCol w:w="6704"/>
      </w:tblGrid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index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fin</w:t>
            </w:r>
          </w:p>
        </w:tc>
      </w:tr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bbi_neut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-0.0</w:t>
            </w:r>
          </w:p>
        </w:tc>
      </w:tr>
    </w:tbl>
    <w:p>
      <w:pPr>
        <w:pStyle w:val="Heading3"/>
      </w:pPr>
      <w:r>
        <w:t>(3) Factor backtest curve</w:t>
      </w:r>
    </w:p>
    <w:p>
      <w:r>
        <w:drawing>
          <wp:inline xmlns:a="http://schemas.openxmlformats.org/drawingml/2006/main" xmlns:pic="http://schemas.openxmlformats.org/drawingml/2006/picture">
            <wp:extent cx="5486400" cy="22281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i_净值曲线及回撤（多空收益）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211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i_净值曲线及回撤（相对收益）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2、fin factor performance</w:t>
      </w:r>
    </w:p>
    <w:p>
      <w:pPr>
        <w:pStyle w:val="Heading3"/>
      </w:pPr>
      <w:r>
        <w:t>(1) Return backtest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val="360"/>
        </w:trPr>
        <w:tc>
          <w:tcPr>
            <w:tcW w:type="dxa" w:w="1572"/>
            <w:gridSpan w:val="3"/>
            <w:vAlign w:val="center"/>
          </w:tcPr>
          <w:p>
            <w:pPr>
              <w:jc w:val="center"/>
            </w:pPr>
            <w:r>
              <w:t>因子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覆盖度</w:t>
            </w:r>
          </w:p>
        </w:tc>
        <w:tc>
          <w:tcPr>
            <w:tcW w:type="dxa" w:w="4192"/>
            <w:gridSpan w:val="8"/>
            <w:vAlign w:val="center"/>
          </w:tcPr>
          <w:p>
            <w:pPr>
              <w:jc w:val="center"/>
            </w:pPr>
            <w:r>
              <w:t>RankIC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多空组合</w:t>
            </w:r>
          </w:p>
        </w:tc>
        <w:tc>
          <w:tcPr>
            <w:tcW w:type="dxa" w:w="2620"/>
            <w:gridSpan w:val="5"/>
            <w:vAlign w:val="center"/>
          </w:tcPr>
          <w:p>
            <w:pPr>
              <w:jc w:val="center"/>
            </w:pPr>
            <w:r>
              <w:t>多头超额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因子名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分类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均值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IC_IR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p值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正显著比例 (2%)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不显著比例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负显著比例 (-2%)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方向延续概率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年化收益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收益率t值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年化超额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超额t值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夏普比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胜率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最大回撤</w:t>
            </w:r>
          </w:p>
        </w:tc>
      </w:tr>
      <w:tr>
        <w:trPr>
          <w:trHeight w:val="360"/>
        </w:trPr>
        <w:tc>
          <w:tcPr>
            <w:tcW w:type="dxa" w:w="524"/>
            <w:vAlign w:val="center"/>
          </w:tcPr>
          <w:p>
            <w:pPr>
              <w:jc w:val="center"/>
            </w:pPr>
            <w:r>
              <w:t>fin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正向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97.18%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-15.03%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-1.15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-71.33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9.58%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5.04%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85.38%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80.91%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-54.0%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-66.11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-7.66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9.92%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-36.67%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-17.54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-2.03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32.96%</w:t>
            </w:r>
          </w:p>
        </w:tc>
        <w:tc>
          <w:tcPr>
            <w:tcW w:type="dxa" w:w="524"/>
            <w:vAlign w:val="center"/>
          </w:tcPr>
          <w:p>
            <w:pPr>
              <w:jc w:val="center"/>
            </w:pPr>
            <w:r>
              <w:t>100.0%</w:t>
            </w:r>
          </w:p>
        </w:tc>
      </w:tr>
    </w:tbl>
    <w:p>
      <w:pPr>
        <w:pStyle w:val="Heading3"/>
      </w:pPr>
      <w:r>
        <w:t>(2) Top 10 factor correlations</w:t>
      </w:r>
    </w:p>
    <w:tbl>
      <w:tblPr>
        <w:tblStyle w:val="LightList-Accent2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704"/>
        <w:gridCol w:w="6704"/>
      </w:tblGrid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index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bbi</w:t>
            </w:r>
          </w:p>
        </w:tc>
      </w:tr>
      <w:tr>
        <w:trPr>
          <w:trHeight w:val="360"/>
        </w:trPr>
        <w:tc>
          <w:tcPr>
            <w:tcW w:type="dxa" w:w="5760"/>
            <w:vAlign w:val="center"/>
          </w:tcPr>
          <w:p>
            <w:pPr>
              <w:jc w:val="center"/>
            </w:pPr>
            <w:r>
              <w:t>fin_neut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t>-0.0</w:t>
            </w:r>
          </w:p>
        </w:tc>
      </w:tr>
    </w:tbl>
    <w:p>
      <w:pPr>
        <w:pStyle w:val="Heading3"/>
      </w:pPr>
      <w:r>
        <w:t>(3) Factor backtest curve</w:t>
      </w:r>
    </w:p>
    <w:p>
      <w:r>
        <w:drawing>
          <wp:inline xmlns:a="http://schemas.openxmlformats.org/drawingml/2006/main" xmlns:pic="http://schemas.openxmlformats.org/drawingml/2006/picture">
            <wp:extent cx="5486400" cy="22129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_净值曲线及回撤（多空收益）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129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_净值曲线及回撤（相对收益）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00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sz w:val="14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