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因子入池筛选</w:t>
      </w:r>
    </w:p>
    <w:p>
      <w:pPr>
        <w:pStyle w:val="Heading1"/>
      </w:pPr>
      <w:r>
        <w:t>一、因子库筛选规则</w:t>
      </w:r>
    </w:p>
    <w:p>
      <w:r>
        <w:t>1、中性化规则：</w:t>
        <w:br/>
        <w:t xml:space="preserve">        Barra因子只进行行业及市值中性化；</w:t>
        <w:br/>
        <w:t xml:space="preserve">        技术指标和基本面因子均进行行业、市值、Barra中性化，其中Barra中性化是对相关性0.3以上的Barra因子再做中性化。</w:t>
        <w:br/>
      </w:r>
    </w:p>
    <w:p>
      <w:r>
        <w:t>2、相关性筛选规则：</w:t>
        <w:br/>
        <w:t xml:space="preserve">        对相关性大于0.9的因子视为相同因子进行剔除，取多空回测夏普较高的因子进行保留。</w:t>
        <w:br/>
      </w:r>
    </w:p>
    <w:p>
      <w:r>
        <w:t xml:space="preserve">3、因子指标筛选规则: </w:t>
        <w:br/>
        <w:t xml:space="preserve">        Barra因子: 因子RankIC均值需大于0.01、t值需大于1.96、方向延续概率需大于0.5，因子多空组合年化收益率需大于0.03、t值需大于1.96、夏普需大于0.6、胜率需大于0.5；</w:t>
        <w:br/>
        <w:t xml:space="preserve">        技术面因子：因子RankIC均值需大于0.03、t值需大于2.58、方向延续概率需大于0.5，因子多空组合年化收益率需大于0.15、t值需大于2.58、夏普需大于1.2、胜率需大于0.5；</w:t>
        <w:br/>
        <w:t xml:space="preserve">        基本面因子：因子RankIC均值需大于0.01、t值需大于1.64、方向延续概率需大于0.5，因子多空组合年化收益率需大于0.08、t值需大于1.64、夏普需大于0.3、胜率需大于0.4；</w:t>
        <w:br/>
      </w:r>
    </w:p>
    <w:p>
      <w:pPr>
        <w:pStyle w:val="Heading1"/>
      </w:pPr>
      <w:r>
        <w:t>二、Neutralized factor correlation</w:t>
      </w:r>
    </w:p>
    <w:p>
      <w:pPr>
        <w:pStyle w:val="Heading2"/>
      </w:pPr>
      <w:r>
        <w:t>Heatmap of factor correlations after neutralization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601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相关性热力图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二、Factor performance</w:t>
      </w:r>
    </w:p>
    <w:p>
      <w:pPr>
        <w:pStyle w:val="Heading2"/>
      </w:pPr>
      <w:r>
        <w:t>1、Barra factor performance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rHeight w:val="360"/>
        </w:trPr>
        <w:tc>
          <w:tcPr>
            <w:tcW w:type="dxa" w:w="1572"/>
            <w:gridSpan w:val="3"/>
            <w:vAlign w:val="center"/>
          </w:tcPr>
          <w:p>
            <w:pPr>
              <w:jc w:val="center"/>
            </w:pPr>
            <w:r>
              <w:t>因子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覆盖度</w:t>
            </w:r>
          </w:p>
        </w:tc>
        <w:tc>
          <w:tcPr>
            <w:tcW w:type="dxa" w:w="4192"/>
            <w:gridSpan w:val="8"/>
            <w:vAlign w:val="center"/>
          </w:tcPr>
          <w:p>
            <w:pPr>
              <w:jc w:val="center"/>
            </w:pPr>
            <w:r>
              <w:t>RankIC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多空组合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多头超额</w:t>
            </w:r>
          </w:p>
        </w:tc>
      </w:tr>
      <w:tr>
        <w:trPr>
          <w:trHeight w:val="360"/>
        </w:trPr>
        <w:tc>
          <w:tcPr>
            <w:tcW w:type="dxa" w:w="524"/>
            <w:vAlign w:val="center"/>
          </w:tcPr>
          <w:p>
            <w:pPr>
              <w:jc w:val="center"/>
            </w:pPr>
            <w:r>
              <w:t>因子名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分类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IC_IR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p值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正显著比例 (2%)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不显著比例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负显著比例 (-2%)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方向延续概率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年化收益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收益率t值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年化超额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超额t值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</w:tr>
    </w:tbl>
    <w:p>
      <w:pPr>
        <w:pStyle w:val="Heading2"/>
      </w:pPr>
      <w:r>
        <w:t>2、Technical factor performance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rHeight w:val="360"/>
        </w:trPr>
        <w:tc>
          <w:tcPr>
            <w:tcW w:type="dxa" w:w="1572"/>
            <w:gridSpan w:val="3"/>
            <w:vAlign w:val="center"/>
          </w:tcPr>
          <w:p>
            <w:pPr>
              <w:jc w:val="center"/>
            </w:pPr>
            <w:r>
              <w:t>因子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覆盖度</w:t>
            </w:r>
          </w:p>
        </w:tc>
        <w:tc>
          <w:tcPr>
            <w:tcW w:type="dxa" w:w="4192"/>
            <w:gridSpan w:val="8"/>
            <w:vAlign w:val="center"/>
          </w:tcPr>
          <w:p>
            <w:pPr>
              <w:jc w:val="center"/>
            </w:pPr>
            <w:r>
              <w:t>RankIC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多空组合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多头超额</w:t>
            </w:r>
          </w:p>
        </w:tc>
      </w:tr>
      <w:tr>
        <w:trPr>
          <w:trHeight w:val="360"/>
        </w:trPr>
        <w:tc>
          <w:tcPr>
            <w:tcW w:type="dxa" w:w="524"/>
            <w:vAlign w:val="center"/>
          </w:tcPr>
          <w:p>
            <w:pPr>
              <w:jc w:val="center"/>
            </w:pPr>
            <w:r>
              <w:t>因子名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分类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IC_IR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p值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正显著比例 (2%)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不显著比例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负显著比例 (-2%)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方向延续概率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年化收益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收益率t值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年化超额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超额t值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</w:tr>
    </w:tbl>
    <w:p>
      <w:pPr>
        <w:pStyle w:val="Heading2"/>
      </w:pPr>
      <w:r>
        <w:t>3、Fundamental factor performance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rHeight w:val="360"/>
        </w:trPr>
        <w:tc>
          <w:tcPr>
            <w:tcW w:type="dxa" w:w="1572"/>
            <w:gridSpan w:val="3"/>
            <w:vAlign w:val="center"/>
          </w:tcPr>
          <w:p>
            <w:pPr>
              <w:jc w:val="center"/>
            </w:pPr>
            <w:r>
              <w:t>因子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覆盖度</w:t>
            </w:r>
          </w:p>
        </w:tc>
        <w:tc>
          <w:tcPr>
            <w:tcW w:type="dxa" w:w="4192"/>
            <w:gridSpan w:val="8"/>
            <w:vAlign w:val="center"/>
          </w:tcPr>
          <w:p>
            <w:pPr>
              <w:jc w:val="center"/>
            </w:pPr>
            <w:r>
              <w:t>RankIC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多空组合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多头超额</w:t>
            </w:r>
          </w:p>
        </w:tc>
      </w:tr>
      <w:tr>
        <w:trPr>
          <w:trHeight w:val="360"/>
        </w:trPr>
        <w:tc>
          <w:tcPr>
            <w:tcW w:type="dxa" w:w="524"/>
            <w:vAlign w:val="center"/>
          </w:tcPr>
          <w:p>
            <w:pPr>
              <w:jc w:val="center"/>
            </w:pPr>
            <w:r>
              <w:t>因子名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分类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IC_IR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p值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正显著比例 (2%)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不显著比例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负显著比例 (-2%)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方向延续概率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年化收益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收益率t值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年化超额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超额t值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</w:tr>
    </w:tbl>
    <w:p>
      <w:pPr>
        <w:pStyle w:val="Heading1"/>
      </w:pPr>
      <w:r>
        <w:t>三、Factor screening results</w:t>
      </w:r>
    </w:p>
    <w:p>
      <w:pPr>
        <w:pStyle w:val="Heading3"/>
      </w:pPr>
      <w:r>
        <w:t>(1) Selected factor performance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rHeight w:val="360"/>
        </w:trPr>
        <w:tc>
          <w:tcPr>
            <w:tcW w:type="dxa" w:w="1572"/>
            <w:gridSpan w:val="3"/>
            <w:vAlign w:val="center"/>
          </w:tcPr>
          <w:p>
            <w:pPr>
              <w:jc w:val="center"/>
            </w:pPr>
            <w:r>
              <w:t>因子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覆盖度</w:t>
            </w:r>
          </w:p>
        </w:tc>
        <w:tc>
          <w:tcPr>
            <w:tcW w:type="dxa" w:w="4192"/>
            <w:gridSpan w:val="8"/>
            <w:vAlign w:val="center"/>
          </w:tcPr>
          <w:p>
            <w:pPr>
              <w:jc w:val="center"/>
            </w:pPr>
            <w:r>
              <w:t>RankIC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多空组合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多头超额</w:t>
            </w:r>
          </w:p>
        </w:tc>
      </w:tr>
      <w:tr>
        <w:trPr>
          <w:trHeight w:val="360"/>
        </w:trPr>
        <w:tc>
          <w:tcPr>
            <w:tcW w:type="dxa" w:w="524"/>
            <w:vAlign w:val="center"/>
          </w:tcPr>
          <w:p>
            <w:pPr>
              <w:jc w:val="center"/>
            </w:pPr>
            <w:r>
              <w:t>因子名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分类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IC_IR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p值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正显著比例 (2%)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不显著比例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负显著比例 (-2%)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方向延续概率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年化收益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收益率t值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年化超额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超额t值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</w:tr>
    </w:tbl>
    <w:p>
      <w:pPr>
        <w:pStyle w:val="Heading3"/>
      </w:pPr>
      <w:r>
        <w:t>(2) Reasons for the exclusion of unselected factors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469"/>
        <w:gridCol w:w="4469"/>
        <w:gridCol w:w="4469"/>
      </w:tblGrid>
      <w:tr>
        <w:trPr>
          <w:trHeight w:val="360"/>
        </w:trPr>
        <w:tc>
          <w:tcPr>
            <w:tcW w:type="dxa" w:w="3840"/>
            <w:vAlign w:val="center"/>
          </w:tcPr>
          <w:p>
            <w:pPr>
              <w:jc w:val="center"/>
            </w:pPr>
            <w:r>
              <w:t>因子</w:t>
            </w:r>
          </w:p>
        </w:tc>
        <w:tc>
          <w:tcPr>
            <w:tcW w:type="dxa" w:w="3840"/>
            <w:vAlign w:val="center"/>
          </w:tcPr>
          <w:p>
            <w:pPr>
              <w:jc w:val="center"/>
            </w:pPr>
            <w:r>
              <w:t>分类</w:t>
            </w:r>
          </w:p>
        </w:tc>
        <w:tc>
          <w:tcPr>
            <w:tcW w:type="dxa" w:w="3840"/>
            <w:vAlign w:val="center"/>
          </w:tcPr>
          <w:p>
            <w:pPr>
              <w:jc w:val="center"/>
            </w:pPr>
            <w:r>
              <w:t>未通过原因</w:t>
            </w:r>
          </w:p>
        </w:tc>
      </w:tr>
      <w:tr>
        <w:trPr>
          <w:trHeight w:val="360"/>
        </w:trPr>
        <w:tc>
          <w:tcPr>
            <w:tcW w:type="dxa" w:w="3840"/>
            <w:vAlign w:val="center"/>
          </w:tcPr>
          <w:p>
            <w:pPr>
              <w:jc w:val="center"/>
            </w:pPr>
            <w:r>
              <w:t>bbi</w:t>
            </w:r>
          </w:p>
        </w:tc>
        <w:tc>
          <w:tcPr>
            <w:tcW w:type="dxa" w:w="3840"/>
            <w:vAlign w:val="center"/>
          </w:tcPr>
          <w:p>
            <w:pPr>
              <w:jc w:val="center"/>
            </w:pPr>
            <w:r>
              <w:t>技术面</w:t>
            </w:r>
          </w:p>
        </w:tc>
        <w:tc>
          <w:tcPr>
            <w:tcW w:type="dxa" w:w="3840"/>
            <w:vAlign w:val="center"/>
          </w:tcPr>
          <w:p>
            <w:pPr>
              <w:jc w:val="center"/>
            </w:pPr>
            <w:r>
              <w:t>因子RankIC的均值过低；因子多空组合收益率过低；因子多空组合夏普比过低；</w:t>
            </w:r>
          </w:p>
        </w:tc>
      </w:tr>
      <w:tr>
        <w:trPr>
          <w:trHeight w:val="360"/>
        </w:trPr>
        <w:tc>
          <w:tcPr>
            <w:tcW w:type="dxa" w:w="3840"/>
            <w:vAlign w:val="center"/>
          </w:tcPr>
          <w:p>
            <w:pPr>
              <w:jc w:val="center"/>
            </w:pPr>
            <w:r>
              <w:t>fin</w:t>
            </w:r>
          </w:p>
        </w:tc>
        <w:tc>
          <w:tcPr>
            <w:tcW w:type="dxa" w:w="3840"/>
            <w:vAlign w:val="center"/>
          </w:tcPr>
          <w:p>
            <w:pPr>
              <w:jc w:val="center"/>
            </w:pPr>
            <w:r>
              <w:t>技术面</w:t>
            </w:r>
          </w:p>
        </w:tc>
        <w:tc>
          <w:tcPr>
            <w:tcW w:type="dxa" w:w="3840"/>
            <w:vAlign w:val="center"/>
          </w:tcPr>
          <w:p>
            <w:pPr>
              <w:jc w:val="center"/>
            </w:pPr>
            <w:r>
              <w:t>因子RankIC的均值过低；因子RankIC的t值过低；因子多空组合收益率过低；因子多空收益率的t值过低；因子多空组合夏普比过低；因子多空组合胜率过低；</w:t>
            </w:r>
          </w:p>
        </w:tc>
      </w:tr>
    </w:tbl>
    <w:p>
      <w:pPr>
        <w:pStyle w:val="Heading1"/>
      </w:pPr>
      <w:r>
        <w:t>四、Individual factor performance</w:t>
      </w:r>
    </w:p>
    <w:p>
      <w:pPr>
        <w:pStyle w:val="Heading2"/>
      </w:pPr>
      <w:r>
        <w:t>1、bbi factor performance</w:t>
      </w:r>
    </w:p>
    <w:p>
      <w:pPr>
        <w:pStyle w:val="Heading3"/>
      </w:pPr>
      <w:r>
        <w:t>(1) Return backtest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rHeight w:val="360"/>
        </w:trPr>
        <w:tc>
          <w:tcPr>
            <w:tcW w:type="dxa" w:w="1572"/>
            <w:gridSpan w:val="3"/>
            <w:vAlign w:val="center"/>
          </w:tcPr>
          <w:p>
            <w:pPr>
              <w:jc w:val="center"/>
            </w:pPr>
            <w:r>
              <w:t>因子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覆盖度</w:t>
            </w:r>
          </w:p>
        </w:tc>
        <w:tc>
          <w:tcPr>
            <w:tcW w:type="dxa" w:w="4192"/>
            <w:gridSpan w:val="8"/>
            <w:vAlign w:val="center"/>
          </w:tcPr>
          <w:p>
            <w:pPr>
              <w:jc w:val="center"/>
            </w:pPr>
            <w:r>
              <w:t>RankIC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多空组合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多头超额</w:t>
            </w:r>
          </w:p>
        </w:tc>
      </w:tr>
      <w:tr>
        <w:trPr>
          <w:trHeight w:val="360"/>
        </w:trPr>
        <w:tc>
          <w:tcPr>
            <w:tcW w:type="dxa" w:w="524"/>
            <w:vAlign w:val="center"/>
          </w:tcPr>
          <w:p>
            <w:pPr>
              <w:jc w:val="center"/>
            </w:pPr>
            <w:r>
              <w:t>因子名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分类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IC_IR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p值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正显著比例 (2%)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不显著比例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负显著比例 (-2%)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方向延续概率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年化收益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收益率t值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年化超额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超额t值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</w:tr>
      <w:tr>
        <w:trPr>
          <w:trHeight w:val="360"/>
        </w:trPr>
        <w:tc>
          <w:tcPr>
            <w:tcW w:type="dxa" w:w="524"/>
            <w:vAlign w:val="center"/>
          </w:tcPr>
          <w:p>
            <w:pPr>
              <w:jc w:val="center"/>
            </w:pPr>
            <w:r>
              <w:t>bbi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负向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97.18%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0.5%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2.89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0.0039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44.25%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14.93%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40.82%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51.28%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4.6%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5.74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0.67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53.5%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37.54%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1.58%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1.54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0.18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47.22%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93.35%</w:t>
            </w:r>
          </w:p>
        </w:tc>
      </w:tr>
    </w:tbl>
    <w:p>
      <w:pPr>
        <w:pStyle w:val="Heading3"/>
      </w:pPr>
      <w:r>
        <w:t>(2) Top 10 factor correlations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704"/>
        <w:gridCol w:w="6704"/>
      </w:tblGrid>
      <w:tr>
        <w:trPr>
          <w:trHeight w:val="360"/>
        </w:trPr>
        <w:tc>
          <w:tcPr>
            <w:tcW w:type="dxa" w:w="5760"/>
            <w:vAlign w:val="center"/>
          </w:tcPr>
          <w:p>
            <w:pPr>
              <w:jc w:val="center"/>
            </w:pPr>
            <w:r>
              <w:t>index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t>fin</w:t>
            </w:r>
          </w:p>
        </w:tc>
      </w:tr>
      <w:tr>
        <w:trPr>
          <w:trHeight w:val="360"/>
        </w:trPr>
        <w:tc>
          <w:tcPr>
            <w:tcW w:type="dxa" w:w="5760"/>
            <w:vAlign w:val="center"/>
          </w:tcPr>
          <w:p>
            <w:pPr>
              <w:jc w:val="center"/>
            </w:pPr>
            <w:r>
              <w:t>bbi_neut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t>-0.0</w:t>
            </w:r>
          </w:p>
        </w:tc>
      </w:tr>
    </w:tbl>
    <w:p>
      <w:pPr>
        <w:pStyle w:val="Heading3"/>
      </w:pPr>
      <w:r>
        <w:t>(3) Factor backtest curve</w:t>
      </w:r>
    </w:p>
    <w:p>
      <w:r>
        <w:drawing>
          <wp:inline xmlns:a="http://schemas.openxmlformats.org/drawingml/2006/main" xmlns:pic="http://schemas.openxmlformats.org/drawingml/2006/picture">
            <wp:extent cx="5486400" cy="22281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bi_净值曲线及回撤（多空收益）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1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22117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bi_净值曲线及回撤（相对收益）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11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2、fin factor performance</w:t>
      </w:r>
    </w:p>
    <w:p>
      <w:pPr>
        <w:pStyle w:val="Heading3"/>
      </w:pPr>
      <w:r>
        <w:t>(1) Return backtest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rHeight w:val="360"/>
        </w:trPr>
        <w:tc>
          <w:tcPr>
            <w:tcW w:type="dxa" w:w="1572"/>
            <w:gridSpan w:val="3"/>
            <w:vAlign w:val="center"/>
          </w:tcPr>
          <w:p>
            <w:pPr>
              <w:jc w:val="center"/>
            </w:pPr>
            <w:r>
              <w:t>因子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覆盖度</w:t>
            </w:r>
          </w:p>
        </w:tc>
        <w:tc>
          <w:tcPr>
            <w:tcW w:type="dxa" w:w="4192"/>
            <w:gridSpan w:val="8"/>
            <w:vAlign w:val="center"/>
          </w:tcPr>
          <w:p>
            <w:pPr>
              <w:jc w:val="center"/>
            </w:pPr>
            <w:r>
              <w:t>RankIC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多空组合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多头超额</w:t>
            </w:r>
          </w:p>
        </w:tc>
      </w:tr>
      <w:tr>
        <w:trPr>
          <w:trHeight w:val="360"/>
        </w:trPr>
        <w:tc>
          <w:tcPr>
            <w:tcW w:type="dxa" w:w="524"/>
            <w:vAlign w:val="center"/>
          </w:tcPr>
          <w:p>
            <w:pPr>
              <w:jc w:val="center"/>
            </w:pPr>
            <w:r>
              <w:t>因子名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分类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IC_IR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p值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正显著比例 (2%)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不显著比例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负显著比例 (-2%)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方向延续概率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年化收益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收益率t值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年化超额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超额t值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</w:tr>
      <w:tr>
        <w:trPr>
          <w:trHeight w:val="360"/>
        </w:trPr>
        <w:tc>
          <w:tcPr>
            <w:tcW w:type="dxa" w:w="524"/>
            <w:vAlign w:val="center"/>
          </w:tcPr>
          <w:p>
            <w:pPr>
              <w:jc w:val="center"/>
            </w:pPr>
            <w:r>
              <w:t>fin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正向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97.18%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-15.03%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-1.15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-71.33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9.58%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5.04%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85.38%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80.91%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-54.0%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-66.11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-7.66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9.92%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100.0%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-36.67%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-17.54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-2.03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32.96%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100.0%</w:t>
            </w:r>
          </w:p>
        </w:tc>
      </w:tr>
    </w:tbl>
    <w:p>
      <w:pPr>
        <w:pStyle w:val="Heading3"/>
      </w:pPr>
      <w:r>
        <w:t>(2) Top 10 factor correlations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704"/>
        <w:gridCol w:w="6704"/>
      </w:tblGrid>
      <w:tr>
        <w:trPr>
          <w:trHeight w:val="360"/>
        </w:trPr>
        <w:tc>
          <w:tcPr>
            <w:tcW w:type="dxa" w:w="5760"/>
            <w:vAlign w:val="center"/>
          </w:tcPr>
          <w:p>
            <w:pPr>
              <w:jc w:val="center"/>
            </w:pPr>
            <w:r>
              <w:t>index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t>bbi</w:t>
            </w:r>
          </w:p>
        </w:tc>
      </w:tr>
      <w:tr>
        <w:trPr>
          <w:trHeight w:val="360"/>
        </w:trPr>
        <w:tc>
          <w:tcPr>
            <w:tcW w:type="dxa" w:w="5760"/>
            <w:vAlign w:val="center"/>
          </w:tcPr>
          <w:p>
            <w:pPr>
              <w:jc w:val="center"/>
            </w:pPr>
            <w:r>
              <w:t>fin_neut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t>-0.0</w:t>
            </w:r>
          </w:p>
        </w:tc>
      </w:tr>
    </w:tbl>
    <w:p>
      <w:pPr>
        <w:pStyle w:val="Heading3"/>
      </w:pPr>
      <w:r>
        <w:t>(3) Factor backtest curve</w:t>
      </w:r>
    </w:p>
    <w:p>
      <w:r>
        <w:drawing>
          <wp:inline xmlns:a="http://schemas.openxmlformats.org/drawingml/2006/main" xmlns:pic="http://schemas.openxmlformats.org/drawingml/2006/picture">
            <wp:extent cx="5486400" cy="221291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n_净值曲线及回撤（多空收益）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2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21291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n_净值曲线及回撤（相对收益）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29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7008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sz w:val="14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