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Agentic AI 时代 RISC-V CPU 的机遇、创新和实践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演讲嘉宾：傅晶晶，达摩院 - RISC-V资深技术专家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大会议程时间：14:00 - 14:30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视频时间轴：约 00:34:20 – 01:02:40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来源：2026云栖大会 · Agentic AI 时代的算力与存储服务器革新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回放链接：https://yunqi.aliyun.com/2026/session?agendaId=164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一、内容摘要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傅晶晶从 Agentic AI 工作负载出发，论证 CPU 正从配角回到系统吞吐与体验的关键路径。对比 Coding Agent 与 Deep Research Agent 的 Token/工具/I/O 特征，指出 CPU:GPU 配比由约 1:8 转向约 1:1～1:2，每 GW 数据中心 CPU 核数需求约 4×。RISC-V 因开放 ISA、模块化扩展与软硬协同具备结构性机会。产品落地以玄铁 C950 为样板（RVA23.1、8 发射、&gt;3GHz），并集成 Titan 超宽向量与 Pulsar 矩阵扩展（单核 FP4 &gt;8TFLOPS）。最后给出 Coding Agent 端到端路径与「云芯协同」闭环。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二、核心要点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Agentic AI 使单次推理变成持续规划、工具调用、验证与迭代。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Coding Agent：Token 放大 10–15×；工具调用 10–30 次；CPU 时间占比显著回升。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Deep Research Agent：50–200 子步骤，总 Token 可达 0.25M–4M，I/O 压力高。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CPU:GPU 从约 1:8 → 1:1～1:2；每 GW CPU 核数需求约 4×；CPU 成本占比可由约 15% 升至 40%+。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CPU 五个新角色：编排器、数据搬运枢纽、隔离边界、异构协同控制面、软件生态承载层。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RISC-V 四窗口：开放 ISA、模块化扩展、软硬协同、生态共建。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五创新方向：高性能控制流、长上下文内存、数据搬运一等公民、开放异构互联、安全隔离。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玄铁 C950：RVA23.1、8-issue、&gt;3GHz、SPECint2006 70+。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Titan（RVV1.0）4K 超宽向量 + Pulsar 矩阵扩展；单核 FP4 &gt;8TFLOPS，4096-bit Tensor Cache。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云芯协同：云场景定义 → 玄铁协同设计 → CIPU/服务器创新 → 标杆验证 → 生态适配。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三、分节梳理与PPT佐证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0"/>
        </w:rPr>
        <w:t>以下按议题结构展开；每节文字要点之后立即附上对应 PPT 截图作为佐证。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嘉宾与开场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本场开场确认讲者身份与议题。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34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 嘉宾介绍：傅晶晶 / Jingjing Fu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佐证说明：达摩院 RISC-V 资深技术专家。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1. 为何是 CPU 架构拐点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Agentic 负载量化特征导致 CPU 占比回升。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配比与成本结构发生结构性变化。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36-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图2 演讲目录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佐证说明：机遇、创新、C950 实践三部分。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40-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图3 Coding vs Deep Research Agent 负载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佐证说明：Token/工具/I/O 特征对比。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42-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图4 CPU:GPU 配比重构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佐证说明：1:8 → 1:1～1:2；每 GW CPU 核数约 4×。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2. 为何 RISC-V 有机会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开放 ISA 与模块化扩展吸收不确定负载。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软硬全栈闭环与生态复利。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45-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图5 为何 RISC-V 适合 Agentic AI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佐证说明：开放 ISA、模块化、软硬协同、生态共建。</w:t>
      </w:r>
    </w:p>
    <w:p>
      <w:pPr>
        <w:spacing w:after="80" w:line="300" w:lineRule="auto"/>
      </w:pPr>
      <w:r>
        <w:rPr>
          <w:rFonts w:ascii="微软雅黑" w:hAnsi="微软雅黑" w:eastAsia="微软雅黑"/>
          <w:b/>
          <w:sz w:val="24"/>
        </w:rPr>
        <w:t>3. 玄铁 C950 与云芯协同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宽发射乱序 + 向量/矩阵进入主线。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与阿里云/CIPU 形成场景牵引与产品闭环。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50-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图6 玄铁 C950 规格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佐证说明：RVA23.1、8 发射、&gt;3GHz。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53-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图7 Titan + Pulsar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佐证说明：单核 FP4 &gt;8TFLOPS；Tensor Cache。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55-5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图8 Coding Agent 端到端路径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佐证说明：CPU/Vector/Matrix/安全/RDMA 分工。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-00-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图9 云芯协同五步</w:t>
      </w:r>
    </w:p>
    <w:p>
      <w:pPr>
        <w:spacing w:after="200" w:line="300" w:lineRule="auto"/>
      </w:pPr>
      <w:r>
        <w:rPr>
          <w:rFonts w:ascii="微软雅黑" w:hAnsi="微软雅黑" w:eastAsia="微软雅黑"/>
          <w:b w:val="0"/>
          <w:sz w:val="20"/>
        </w:rPr>
        <w:t>佐证说明：玄铁底座 + 阿里云场景牵引 + CIPU 协同。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四、结论与启示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Agentic AI 使 CPU 重回吞吐关键路径。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RISC-V 主张从「替代 x86」转向「更快共设 AI 原生能力」。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C950 以宽发射 + Titan/Pulsar 把检索/向量/张量拉回通用服务器流水线。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落地强调全栈闭环与云芯协同，而非单点芯片指标。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