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07 · 广告系统的智能演进：小米广告算法走向LLM4Rec的实践与思考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演讲：吴睿泽 · 小米互联网 · 高级算法工程师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来源回放：https://yunqi.aliyun.com/2026/session?agendaId=123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吴睿泽分享小米应用商店广告在约3个季度内通过底座升级而非单纯调模，实现ARPU提升超过8个百分点的实践。路径是训推全面切Torch、端到端长序列、流式在线学习，并推进推荐Scaling Law与生成式Ultra-HSTU。下一站明确指向LLM4Rec：从点击预测走向大模型语义理解，生成式排序与生成式召回并行落地。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以下按技术点展开：先写技术细节与关键指标，紧跟官方回放截图佐证，再给出对友商工作的启示。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三季业务结果：不只是模型优化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2026Q1–Q3小米应用商店广告：ARPU提升&gt;8%、GAUC提升&gt;2%；稠密参数提升约10倍并超过1B。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Q1：训推框架全面切Torch，TokenMixer交互升级，支撑超2亿动态Embedding。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Q1–Q2：端到端长序列（ETA/SCTA/MixFormer多版本），2K序列建模；流式在线学习（Kafka流式训练+增量更新）。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Q3–Q4方向：推荐Scaling Law与生成式（HSTU全量落地、多模预训练表征、LLM4Rec工程底座预研）。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ARPU提升 &gt;8%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GAUC提升 &gt;2%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稠密参数提升约10×，超过1B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训推切换Torch：训练迭代效率提升约8–10×；ARPU +2%、GAUC +0.5pt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长序列：ARPU +4%、GAUC +1.5pt；推理加速约4×，显存节省约58%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在线学习：ARPU +2%、CTR +1.8%；数据时延3小时→20分钟，更新频率1小时→约2分钟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8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图示佐证：三季业务结果：不只是模型优化（t02-08-00.png）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大盘增益叙事应绑定「底座能力跃迁」而不是结构刷榜；先证明Torch化、长序列、分钟级在线学习，再谈生成式推荐。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联合共建：推荐底座升级为可规模/可序列/可实时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小米应用商店诉求：要的是底座级升级，而不是又一次常规调模。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表征规模化：Torch赋能GPU原生稀疏计算，支撑约2亿动态Embedding。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长序列加速：PAI辅助多级Item KV Cache与INT8量化。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在线学习：TorchEasyRec；离线PAI-TorchEasyRec（Dense: SCTA/MixFormer+FlashAttention，最大2K；Sparse: Dynamic Embedding）与在线PAI-Rec/EAS（Dense双缓冲约3分钟更新，Sparse HBM/UVM/Remote秒级更新）+ FeatureStore。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内存节省约18%，显存节省约24%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长序列推理加速约4×，显存节省约58%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数据时延：3小时 → 20分钟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模型更新：1小时 → 分钟级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10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图示佐证：联合共建：推荐底座升级为可规模/可序列/可实时（t02-10-00.png）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推荐底座三问对标：显存能不能撑大规模稀疏、序列能不能做到2K端到端、更新能不能到分钟级；答案都应落在训推一体工程，而非单点模型结构。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下一站LLM4Rec：Scaling Law / 超长序列 / 多模语义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Scaling Law落地：非序列化扩参触顶；用多源长序列Scaling Up（更多数据源、更长序列、更高效Attention）作为稳定拉动业务的迭代主线。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超长序列训推：继续硬扩DLRM边际成本高；改用生成式框架Ultra-HSTU，联合建模超长用户历史、上下文与候选。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多模表征理解：广告ID海量、投放周期短、冷启样本少；用语义ID + 生成式召回，多模大模型内容编码直接生成候选。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共建底座：PAI-Rec能力体系、Dynamic Embedding、流式训练、多模表征、语义ID、HSTU类序列模型、生成式召回、FeatureStore、PAI-EAS统一服务治理。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14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图示佐证：下一站LLM4Rec：Scaling Law / 超长序列 / 多模语义（t02-14-00.png）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LLM4Rec不是换一个更大CTR模型，而是同时升级样本组织、生成式框架与语义ID召回；冷启与长尾广告覆盖应成为验收指标。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生成式排序UltraHSTU：十万级序列训推工程优化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SessionWise序列共享（M-FALCON）：跨任务共享Session序列前缀，降低重复计算。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定制化变长Attention Op：面向变长行为序列的高效Attention内核。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DynamicBatch均衡：按负载在GPU间动态均衡变长Batch。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训练计算优化约5–10×；推理成本优化约2.5×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变长Attention：训练速度/显存优化约2–4×，MFU约46%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DynamicBatch：训练速度提升约5%–15%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18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图示佐证：生成式排序UltraHSTU：十万级序列训推工程优化（t02-18-00.png）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十万级序列落地的关键是共享前缀与变长算子，而不是单纯加卡；MFU与推理成本应作为生成式排序的硬指标。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生成式召回：稀疏ID与语义ID的自由编排推理加速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Paged Beam KVCache：Beam Page Table + Paged KV Pool，区分Shared Prefix与Private Decode。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Beam Attention：共享前缀Attention与私有后缀Attention拆分计算。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GPU前缀树约束解码：GPU Native CSR Trie分段并行搜索，加速ID层级约束解码。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Paged Beam KVCache推理速度 +40%–45%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Beam Attention推理速度 +27%–35%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GPU前缀树约束解码性能提升约4–6×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图示佐证：生成式召回：稀疏ID与语义ID的自由编排推理加速（t02-20-00.png）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生成式召回工程重点在Beam内存与约束解码；稀疏ID与语义ID编排能力决定冷启与长尾覆盖，应与排序侧同步产品化。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议题定位：广告系统智能演进与LLM4Rec叙事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主标题：广告系统的智能演进。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副标题：小米互联网 · 广告算法走向LLM4Rec的实践与思考。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演讲人：吴睿泽，小米高级算法工程师；与阿里云联合实践叙事。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6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图示佐证：议题定位：广告系统智能演进与LLM4Rec叙事（t02-06-00.png）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对外可用「业务结果→底座升级→LLM4Rec路线」三段叙事，把云厂商平台能力与客户算法演进绑在同一故事线。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三、综合启示（面向友商 / 平台建设）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小米路径证明：3个季度ARPU&gt;+8%的主要杠杆是Torch底座、长序列与在线学习，而非单点结构创新。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LLM4Rec落地需要生成式排序（UltraHSTU）与生成式召回（语义ID/约束解码）两侧工程同时成熟。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友商可优先复制「显存可扩、序列可长、更新可分钟级」三项底座能力，再谈百亿参与语义生成。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说明：截图来自云栖大会官方回放画面，用于技术点佐证；指标以演讲幻灯口径为准。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