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微软雅黑" w:hAnsi="微软雅黑" w:eastAsia="微软雅黑"/>
          <w:b/>
          <w:sz w:val="32"/>
        </w:rPr>
        <w:t>KVCache：从显存优化到软硬结合的推理基础设施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2"/>
        </w:rPr>
        <w:t>演讲嘉宾：王正恒、徐国强，阿里云智能集团 - 高级技术专家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大会议程时间：15:00 - 15:30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视频时间轴：约 01:30:40 – 02:20:50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来源：2026云栖大会 · Agentic AI 时代的算力与存储服务器革新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回放链接：https://yunqi.aliyun.com/2026/session?agendaId=164</w:t>
      </w:r>
    </w:p>
    <w:p>
      <w:pPr>
        <w:spacing w:after="120" w:line="300" w:lineRule="auto"/>
      </w:pPr>
      <w:r>
        <w:rPr>
          <w:rFonts w:ascii="微软雅黑" w:hAnsi="微软雅黑" w:eastAsia="微软雅黑"/>
          <w:b/>
          <w:sz w:val="20"/>
        </w:rPr>
        <w:t>文档定位：偏技术细节与未来启示，可作为后续洞察PPT的素材底稿。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一、议题速览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2"/>
        </w:rPr>
        <w:t>KVCache 从引擎内显存开销升级为可池化推理资产：Tair KVCM 控制面 + MemPool 数据面 + KV Aware Routing；HiSim 做 SLO/成本决策。硬件侧 G1–G4 分层与磐久 UMX（UALink+CXL）打通统一内存扩展；MemPool 宣称 offload 吞吐 +50%+、TTFT -30%。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二、关键技术细节速览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三跃迁：前缀命中跳过 Prefill；Agentic 多轮持久；跨实例池化到网络存储。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KVCM：meta、统一分配、多后端（FlexLightStore/Mooncake/Pangu/TairMempool）、TTL/weight 策略、HiSim 服务。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MemPool：RDMA 跨节点共享，乱序加速；传输效率 93%+；offload 吞吐 +50%+、TTFT -30%。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分层：G1 HBM → G1.5 AMES/HBF/UMX → G2 DRAM → G2.5 CXL/RDMA 池 → G3 SSD → G3.5 EBoF → G4 对象/文件。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UMX：Alink Scale Up（UALink+CXL，Load/Store）；DRAM/SCM/SSD 池；目标超长 KVCache/Agent Memory。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G3 选型：HiSim（带宽/可行性）+ Optimizer（容量/写入）；带宽/容量/寿命三约束取最大；SLO 如 Mean TPOT &lt;10s。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三、技术展开与PPT佐证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0"/>
        </w:rPr>
        <w:t>以下按技术主题展开；每节要点之后立即附上对应 PPT 截图。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1. 资源化：从显存开销到可复用资产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Prefill 写、Decode 读、分块管理；目标以读代算、跨请求复用、突破单机 HBM。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三跃迁对应 TTFT、多轮 Agent、集群级容量弹性三条价值曲线。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控制面/数据面分离：策略与放置上收，数据面走 RDMA 共享池。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33-2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图2 从显存开销到可复用推理资产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佐证说明：跨请求 / 多轮持久 / 跨实例池化。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35-5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图3 全局池化系统协同架构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佐证说明：Tair KVCM + KV Aware Routing + MemPool。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2. Tair KVCM / MemPool / HiSim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KV Aware Routing：请求路由感知 KV 位置，减少重复 Prefill。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多后端统一：引擎内缓存与外部 Mooncake/Pangu/MemPool 等可编排。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HiSim×AIConfigurator：端到端仿真 TTFT/TPOT，Pareto/SLO 写回 GPU Workers；宣称仿真误差可到 &lt;3% 量级。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介质五需求：带宽-容量解耦、弹性、低延迟高持续带宽、DWPD 匹配、Token 级 TCO（宣称降幅超 80%）。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40-0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图4 HiSim 仿真优化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佐证说明：仿真驱动配置与 Pareto/SLO。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43-20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图5 存储介质五需求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佐证说明：解耦、弹性、延迟/带宽、DWPD、TCO。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3. G1–G4 分层与 UMX / EBoF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G1 HBM4/4e 级指标（高带宽/百 GB 级）→ G1.5 Scale-up 内存扩展（AMES/HBF/UMX）。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G2.5 CXL/RDMA Memory Pool；G3 本地 SSD；G3.5 分布式/EBoF；G4 对象/文件。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磐久 UMX：互连芯片+介质+软件；UALink+CXL Load/Store；纳秒级语义消除 Agent「存储墙」。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G3/G3.5：vCNS-FS 文件微缓存 + KV Engine；EBoF（DPU/TLC/QLC/FDP）；HiSim+Optimizer 选型。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50-00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图6 G1–G4 分层存储定义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佐证说明：HBM/AMES/CXL/SSD/EBoF 指标栈。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53-20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图7 磐久 UMX / Alink Scale Up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佐证说明：UALink+CXL；超长 KVCache 目标场景。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1-59-10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图8 Tair Memory Pool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佐证说明：吞吐 +50%+；TTFT -30%。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09-10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图9 G3/G3.5 EBoF 与语义缓存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佐证说明：文件语义与 KV 语义双路径。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15-50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图10 G3 SSD 选型 HiSim+Optimizer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佐证说明：带宽/容量/寿命三约束。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252481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02-19-10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5248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微软雅黑" w:hAnsi="微软雅黑" w:eastAsia="微软雅黑"/>
          <w:b w:val="0"/>
          <w:color w:val="5A5A5A"/>
          <w:sz w:val="18"/>
        </w:rPr>
        <w:t>图11 KVCache 全景 L1–L4</w:t>
      </w:r>
    </w:p>
    <w:p>
      <w:pPr>
        <w:spacing w:after="200" w:line="300" w:lineRule="auto"/>
      </w:pPr>
      <w:r>
        <w:rPr>
          <w:rFonts w:ascii="微软雅黑" w:hAnsi="微软雅黑" w:eastAsia="微软雅黑"/>
          <w:b w:val="0"/>
          <w:sz w:val="20"/>
        </w:rPr>
        <w:t>佐证说明：模型-软件-硬件纵向协同。</w:t>
      </w:r>
    </w:p>
    <w:p>
      <w:pPr>
        <w:pStyle w:val="Heading2"/>
      </w:pPr>
      <w:r>
        <w:rPr>
          <w:rFonts w:ascii="微软雅黑" w:hAnsi="微软雅黑" w:eastAsia="微软雅黑"/>
          <w:b/>
          <w:sz w:val="26"/>
        </w:rPr>
        <w:t>四、面向未来的洞察（洞察PPT素材）</w:t>
      </w:r>
    </w:p>
    <w:p>
      <w:pPr>
        <w:spacing w:after="120" w:line="300" w:lineRule="auto"/>
      </w:pPr>
      <w:r>
        <w:rPr>
          <w:rFonts w:ascii="微软雅黑" w:hAnsi="微软雅黑" w:eastAsia="微软雅黑"/>
          <w:b w:val="0"/>
          <w:sz w:val="20"/>
        </w:rPr>
        <w:t>本节可直接拆成洞察PPT的判断页/动作页/金句页。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趋势判断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KVCache 正在基础设施化：从框架技巧变为可调度、可计量、可分层的平台服务。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超长上下文与 Agent 多轮将迫使 HBM 之外的 G1.5/G2.5/G3 成为标配，而非可选项。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关键技术判断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控制面（放置/生命周期/价值）与数据面（RDMA/CXL/Load-Store）必须拆开演进。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无仿真（HiSim 类）的分层配置会陷入经验调参；SLO/TCO Pareto 是规模化前提。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UMX 类总线级扩展与 CXL/RDMA 池是「存储墙」破局的两条主技术路线。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对 Infra / 平台的启示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产品化：把 KV 命中率、TTFT、$/Token 纳入平台 SLO，而不只看 GPU 利用率。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采购：SSD/CXL/EBoF 选型要用 workload 仿真约束带宽/容量/寿命，而非只看标称性能。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协同：与 CIPU、推理引擎、存储介质栈纵向对齐（L1–L4 全景）。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4"/>
        </w:rPr>
        <w:t>洞察PPT页建议（可直接拆页）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页建议：三跃迁价值阶梯。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页建议：KVCM + MemPool 架构图。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页建议：G1–G4 分层指标表（带宽/时延/容量/语义）。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页建议：UMX vs 传统 RDMA 内存池对照。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页建议：HiSim 决策闭环（仿真→配置→回流）。</w:t>
      </w:r>
    </w:p>
    <w:p>
      <w:pPr>
        <w:pStyle w:val="ListBullet"/>
        <w:spacing w:after="60"/>
      </w:pPr>
      <w:r>
        <w:rPr>
          <w:rFonts w:ascii="微软雅黑" w:hAnsi="微软雅黑" w:eastAsia="微软雅黑"/>
          <w:b w:val="0"/>
          <w:sz w:val="22"/>
        </w:rPr>
        <w:t>洞察金句：KVCache 是推理资产，不是显存垃圾。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