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AI 时代 RISC-V CPU 的机遇、创新和实践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演讲嘉宾：傅晶晶，达摩院 - RISC-V资深技术专家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大会议程时间：14:00 - 14:30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00:34:20 – 01:02:40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傅晶晶从 Agentic AI 工作负载出发，论证 CPU 正从配角回到系统吞吐与体验的关键路径。对比 Coding Agent 与 Deep Research Agent 的 Token/工具/I/O 特征，指出 CPU:GPU 配比由约 1:8 转向约 1:1～1:2，每 GW 数据中心 CPU 核数需求约 4×。RISC-V 因开放 ISA、模块化扩展与软硬协同具备结构性机会。产品落地以玄铁 C950 为样板（RVA23.1、8 发射、&gt;3GHz），并集成 Titan 超宽向量与 Pulsar 矩阵扩展（单核 FP4 &gt;8TFLOPS）。最后给出 Coding Agent 端到端路径与「云芯协同」闭环。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AI 使单次推理变成持续规划、工具调用、验证与迭代。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Agent：Token 放大 10–15×；工具调用 10–30 次；CPU 时间占比显著回升。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Deep Research Agent：50–200 子步骤，总 Token 可达 0.25M–4M，I/O 压力高。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CPU:GPU 从约 1:8 → 1:1～1:2；每 GW CPU 核数需求约 4×；CPU 成本占比可由约 15% 升至 40%+。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CPU 五个新角色：编排器、数据搬运枢纽、隔离边界、异构协同控制面、软件生态承载层。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RISC-V 四窗口：开放 ISA、模块化扩展、软硬协同、生态共建。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五创新方向：高性能控制流、长上下文内存、数据搬运一等公民、开放异构互联、安全隔离。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玄铁 C950：RVA23.1、8-issue、&gt;3GHz、SPECint2006 70+。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Titan（RVV1.0）4K 超宽向量 + Pulsar 矩阵扩展；单核 FP4 &gt;8TFLOPS，4096-bit Tensor 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云芯协同：云场景定义 → 玄铁协同设计 → CIPU/服务器创新 → 标杆验证 → 生态适配。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为何是 CPU 架构拐点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负载量化特征导致 CPU 占比回升。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配比与成本结构发生结构性变化。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为何 RISC-V 有机会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 ISA 与模块化扩展吸收不确定负载。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软硬全栈闭环与生态复利。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玄铁 C950 与云芯协同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宽发射乱序 + 向量/矩阵进入主线。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与阿里云/CIPU 形成场景牵引与产品闭环。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4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嘉宾介绍：傅晶晶 / Jingjing Fu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达摩院 RISC-V 资深技术专家。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6-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演讲目录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机遇、创新、C950 实践三部分。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Coding vs Deep Research Agent 负载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Token/工具/I/O 特征对比。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2-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CPU:GPU 配比重构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1:8 → 1:1～1:2；每 GW CPU 核数约 4×。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5-5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为何 RISC-V 适合 Agentic AI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开放 ISA、模块化、软硬协同、生态共建。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玄铁 C950 规格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RVA23.1、8 发射、&gt;3GHz。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3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Titan + Pulsar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单核 FP4 &gt;8TFLOPS；Tensor Cache。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5-5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Coding Agent 端到端路径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CPU/Vector/Matrix/安全/RDMA 分工。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0-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云芯协同五步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玄铁底座 + 阿里云场景牵引 + CIPU 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AI 使 CPU 重回吞吐关键路径。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RISC-V 主张从「替代 x86」转向「更快共设 AI 原生能力」。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C950 以宽发射 + Titan/Pulsar 把检索/向量/张量拉回通用服务器流水线。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落地强调全栈闭环与云芯协同，而非单点芯片指标。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