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06 · 容器智算底座助力生数科技多模态 AI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演讲：张凯 / 姚峥 · 阿里云容器服务 / 生数科技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本场为容器智算底座与生数科技联合实践：ACK 侧给出真武 M890 超节点调度/DRA/可观测/自愈、PD 分离推理套件、异构故障自愈与多模型 GPU 热切换能力；生数侧介绍 Vidu/Motusion 通用世界模型路线，以及基于 ACK Pro + ACS Serverless 的多地域训推调度平台（服务启动 SLO 15 秒、首帧时延可观测），并以高峰弹性、模型切换、GPU 故障与多集群调度四大挑战收束。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ACK 支持真武 M890：拓扑感知 · DRA · 可观测 · 自愈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灵骏节点池统一纳管：PoD → ASW 交换域 → 超节点 → 子节点；真武 M890 为 64 PPU 统一互联域，ICN Link 800Gb/s 全互联。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拓扑感知调度：Binpack + Gang（PodGroup），超节点内按 2/4/8 等分卡选位，同任务 Worker 同超节点亲和。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DRA · 多 Channel 调度/隔离：任务独立通信 Channel，CDI 注入设备，故障域从整超节点收敛到任务 Channel。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深度可观测：80+ Prometheus 指标、容器/算子级归因、AI Profiling；超节点秒级感知 ECC/互联/XID，隔离→排水→修复→放回闭环。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64 PPU 统一互联域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ICN Link 800Gb/s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80+ 标准 Prometheus 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秒级故障感知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56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图示佐证：ACK 支持真武 M890：拓扑感知 · DRA · 可观测 · 自愈（t01-56-00.png）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超节点/AI 集群规划需把拓扑亲和 Gang 调度与 DRA/CDI 多 Channel 隔离做成默认能力，而不是事后人工绑核；同时补齐超节点级秒级自愈（隔离-排水-修复-放回）与算子级可观测，否则万卡级训推 Goodput 无法对标。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ACK AI 推理套件 + 真武 M890：PD 分离与前缀感知路由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RBG 角色编排：Segment 内 2P:1D 亲和，段内 KV Cache 直传；P/D/Router 独立弹性，P:D 配比可在线自适应；Gang 原子启停。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ACK 推理网关：最长前缀优先、跨实例共享、KV 分层加载；负载感知队列深度/KV 占用/活跃请求，权衡命中收益与等待成本。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指标驱动扩缩：Prefill 看队列等待与 TTFT；Decode 看 batch/TPOT/KV 占用；预置 Token 吞吐、TTFT、端到端时延、KV 命中率看板。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服务启动：34 分钟 → 2 分 20 秒（节点预热）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KV Cache 命中率：40% → 90%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同资源吞吐约 3x（相对开源）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TTFT 下降约 75%（Qwen3.8-Max FP4）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58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图示佐证：ACK AI 推理套件 + 真武 M890：PD 分离与前缀感知路由（t01-58-00.png）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推理产品应把 PD 分离 + Session/前缀感知路由做成一等公民，对外暴露 KV 命中率/TTFT/会话 SLO；超节点场景还需 Segment 拓扑亲和与 P/D 独立弹性，避免只卖单机吞吐。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ACK 异构算力故障自愈：以 Goodput 为目标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五层架构：信源（ECS/灵骏/超节点 CMS、GPU Xid/ECC、Kubelet）→ 检测转换（统一故障语义、主动探测）→ 可视化告警 → 编排授权（RepairPlan、分级授权、限流熔断）→ 执行（卡/机隔离、排水、修复、回池）。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主动探测：GPU 健康、GEMM、单机/跨机 NCCL 带宽；修复后复检再入池。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原生 K8s Condition 映射，业务零改代码；覆盖 ECS/EGS/灵骏/超节点；支持卡级隔离。客户实践含生数科技。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目标指标：Goodput（有效算力时长比例）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卡级隔离：单坏卡不废整机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客户实践：生数科技 / 苏度科技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0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图示佐证：ACK 异构算力故障自愈：以 Goodput 为目标（t02-00-00.png）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应将 Goodput 纳入 AI 集群运维 KPI，并把多源硬件事件统一映射为 K8s Condition；必须具备主动探测（NCCL/GEMM）与 RepairPlan 限流熔断，防止自愈雪崩抽干节点池。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多模型 on GPU 热切换：MaaS 长尾模型秒级切换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做法：模型权重驻留 + 网关智能路由 + 卡内秒级切换 + GPU 进程/卡零重启；请求调度与 GPU 进程状态协同，保证推理不中断。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三级缓存预热：pin-mem / 本地盘 / CPFS；CUDA Graph 自适应复用；vLLM 虚地址复用与 Pinned-mem pool。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FMA 调度控制器感知流量与容量；ACK 推理网关 Gateway API + EPP 端点选择；流程：排水 → 卡内切权重 → 网关切流。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8B：0.95s vs 冷启 199s（~210x）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27B：1.34s vs 298s（~222x）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72B：1.87s vs 311s（~166x）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122B：2.30s vs 950s（~413x）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235B：3.27s vs 801s（~245x）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6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图示佐证：多模型 on GPU 热切换：MaaS 长尾模型秒级切换（t02-06-00.png）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多模态/MaaS 场景模型种类多、权重巨大，HCS 需交付「权重驻留 + 热切换」能力（秒级、零重启），并与 CPFS/本地缓存/网关协同；否则长尾模型只能独占卡，利用率与成本无法过关。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生数：数字与物理统一的通用世界模型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2023 年成立，主张以视听信息训练通用基座世界模型，自研 U-ViT（diffusion-transformer 融合）。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路线：Vidu（世界生成模型 WGM）与 Motusion（世界动作模型 WAM）经信息解析/动作解构汇入通用世界模型基座。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目标：对数字/物理世界规律建模、推理、预测与行动，服务 AGI 与机器人等落地。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架构：自研 U-ViT / Diffusion-Transformer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产品线：Vidu（WGM）+ Motusion（WAM）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14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图示佐证：生数：数字与物理统一的通用世界模型（t02-14-00.png）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多模态视频生成与世界模型客户对显存、卡间互联与长时生成任务容错要求显著高于文本 LLM；HCS 规划应单独定义「生成式多模态」资源规格与工作流编排（多架构模型编排、首帧/出片 SLA），而不是复用纯 LLM Serving 模板。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生数训推调度平台：基础+弹性双池与 15 秒启动 SLO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接入层：API 网关 + 任务队列（优先级、租户配额）；调度决策：预测 + 混合调度，基荷走 EGS 常驻池、突发走 ACS Serverless。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统一控制面：ACS + ACK Pro，北京/上海/乌兰察布多地域；节点池、拓扑感知、故障自愈闭环、统一可观测。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存储底座：EBS 快照预热、ESSD AutoPL、ACS 镜像缓存；运行时强调首帧时延与出片时长可观测、卡间通信拓扑感知、任务级容错与幂等重试。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服务启动 SLO：15 秒内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多地域：北京 / 上海 / 乌兰察布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双池：EGS 基荷 + ACS Serverless 突发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16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图示佐证：生数训推调度平台：基础+弹性双池与 15 秒启动 SLO（t02-16-00.png）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对标生数架构，HCS 应提供「预留池 + Serverless 突发池」混合调度与多 Region 统一控制面；并把镜像/快照预热、首帧时延纳入产品 SLO，支撑 AIGC 高峰与低谷潮汐。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挑战与解法：弹性不足 → 秒级千卡供给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挑战：高峰低谷明显、模型架构/种类多且权重巨大、部分 GPU 监控缺陷与故障不可预测、多地域算力与 C/B 端需求差异导致调度复杂。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解法：负载预测驱动前置扩容；稳态 GPU 节点池 + ECS/ACS 弹性节点池；ACK Pro 统一编排。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展望方向：训推一体潮汐复用、全球一张算力网、显存级多模型热切换、面向业务 SLO（任务成功率/首帧/队列）的自治运维与长任务断点续传。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秒级千卡级资源快速供给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服务可用性 99.9%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硬件故障自愈率 &gt;99%（配套自愈实践）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2-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图示佐证：挑战与解法：弹性不足 → 秒级千卡供给（t02-22-30.png）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多模态客户痛点可直接映射为四条规划项：预测式弹性、权重分发/热切换、GPU 主动健康与多集群 Fleet 调度；长视频生成还需断点续传与跨域重调度，否则单点故障代价过高。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超节点（M890 类）必须配套拓扑 Gang、DRA Channel 隔离与秒级自愈，否则硬件规格无法转化为 Goodput。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多模态 MaaS 的关键竞争力是「15 秒级启动 + 秒级模型热切换 + 前缀/负载感知推理网关」，而非单卡峰值吞吐。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基础池 + Serverless 突发池、多地域统一控制面与业务 SLO 驱动自治运维，是生数类客户对 HCS 的可落项对标清单。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