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1.概述网络安全等级保护的工作流程。</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在等级保护安全框架中明确了网络安全等级保护工作的五个规定动作：</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定级</w:t>
      </w:r>
      <w:r>
        <w:rPr>
          <w:rFonts w:hint="eastAsia" w:ascii="宋体" w:hAnsi="宋体" w:eastAsia="宋体" w:cs="宋体"/>
          <w:b w:val="0"/>
          <w:bCs w:val="0"/>
          <w:color w:val="auto"/>
          <w:sz w:val="24"/>
          <w:szCs w:val="24"/>
          <w:bdr w:val="none" w:color="auto" w:sz="0" w:space="0"/>
          <w:lang w:eastAsia="zh-CN"/>
        </w:rPr>
        <w:t>、</w:t>
      </w:r>
      <w:r>
        <w:rPr>
          <w:rFonts w:hint="eastAsia" w:ascii="宋体" w:hAnsi="宋体" w:eastAsia="宋体" w:cs="宋体"/>
          <w:b w:val="0"/>
          <w:bCs w:val="0"/>
          <w:color w:val="auto"/>
          <w:sz w:val="24"/>
          <w:szCs w:val="24"/>
          <w:bdr w:val="none" w:color="auto" w:sz="0" w:space="0"/>
        </w:rPr>
        <w:t>备案</w:t>
      </w:r>
      <w:r>
        <w:rPr>
          <w:rFonts w:hint="eastAsia" w:ascii="宋体" w:hAnsi="宋体" w:eastAsia="宋体" w:cs="宋体"/>
          <w:b w:val="0"/>
          <w:bCs w:val="0"/>
          <w:color w:val="auto"/>
          <w:sz w:val="24"/>
          <w:szCs w:val="24"/>
          <w:bdr w:val="none" w:color="auto" w:sz="0" w:space="0"/>
          <w:lang w:eastAsia="zh-CN"/>
        </w:rPr>
        <w:t>、</w:t>
      </w:r>
      <w:r>
        <w:rPr>
          <w:rFonts w:hint="eastAsia" w:ascii="宋体" w:hAnsi="宋体" w:eastAsia="宋体" w:cs="宋体"/>
          <w:b w:val="0"/>
          <w:bCs w:val="0"/>
          <w:color w:val="auto"/>
          <w:sz w:val="24"/>
          <w:szCs w:val="24"/>
          <w:bdr w:val="none" w:color="auto" w:sz="0" w:space="0"/>
        </w:rPr>
        <w:t>建设整改</w:t>
      </w:r>
      <w:r>
        <w:rPr>
          <w:rFonts w:hint="eastAsia" w:ascii="宋体" w:hAnsi="宋体" w:eastAsia="宋体" w:cs="宋体"/>
          <w:b w:val="0"/>
          <w:bCs w:val="0"/>
          <w:color w:val="auto"/>
          <w:sz w:val="24"/>
          <w:szCs w:val="24"/>
          <w:bdr w:val="none" w:color="auto" w:sz="0" w:space="0"/>
          <w:lang w:eastAsia="zh-CN"/>
        </w:rPr>
        <w:t>、</w:t>
      </w:r>
      <w:r>
        <w:rPr>
          <w:rFonts w:hint="eastAsia" w:ascii="宋体" w:hAnsi="宋体" w:eastAsia="宋体" w:cs="宋体"/>
          <w:b w:val="0"/>
          <w:bCs w:val="0"/>
          <w:color w:val="auto"/>
          <w:sz w:val="24"/>
          <w:szCs w:val="24"/>
          <w:bdr w:val="none" w:color="auto" w:sz="0" w:space="0"/>
        </w:rPr>
        <w:t>等级测评</w:t>
      </w:r>
      <w:r>
        <w:rPr>
          <w:rFonts w:hint="eastAsia" w:ascii="宋体" w:hAnsi="宋体" w:eastAsia="宋体" w:cs="宋体"/>
          <w:b w:val="0"/>
          <w:bCs w:val="0"/>
          <w:color w:val="auto"/>
          <w:sz w:val="24"/>
          <w:szCs w:val="24"/>
          <w:bdr w:val="none" w:color="auto" w:sz="0" w:space="0"/>
          <w:lang w:eastAsia="zh-CN"/>
        </w:rPr>
        <w:t>、</w:t>
      </w:r>
      <w:r>
        <w:rPr>
          <w:rFonts w:hint="eastAsia" w:ascii="宋体" w:hAnsi="宋体" w:eastAsia="宋体" w:cs="宋体"/>
          <w:b w:val="0"/>
          <w:bCs w:val="0"/>
          <w:color w:val="auto"/>
          <w:sz w:val="24"/>
          <w:szCs w:val="24"/>
          <w:bdr w:val="none" w:color="auto" w:sz="0" w:space="0"/>
        </w:rPr>
        <w:t>监督检查</w:t>
      </w:r>
    </w:p>
    <w:p>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ind w:left="0"/>
        <w:jc w:val="both"/>
        <w:textAlignment w:val="auto"/>
        <w:rPr>
          <w:rFonts w:hint="eastAsia" w:ascii="宋体" w:hAnsi="宋体" w:eastAsia="宋体" w:cs="宋体"/>
          <w:b w:val="0"/>
          <w:bCs w:val="0"/>
          <w:color w:val="auto"/>
          <w:sz w:val="24"/>
          <w:szCs w:val="24"/>
        </w:rPr>
      </w:pPr>
    </w:p>
    <w:p>
      <w:pPr>
        <w:keepNext w:val="0"/>
        <w:keepLines w:val="0"/>
        <w:pageBreakBefore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drawing>
          <wp:inline distT="0" distB="0" distL="114300" distR="114300">
            <wp:extent cx="5273040" cy="173355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1733550"/>
                    </a:xfrm>
                    <a:prstGeom prst="rect">
                      <a:avLst/>
                    </a:prstGeom>
                    <a:noFill/>
                    <a:ln>
                      <a:noFill/>
                    </a:ln>
                  </pic:spPr>
                </pic:pic>
              </a:graphicData>
            </a:graphic>
          </wp:inline>
        </w:drawing>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bdr w:val="none" w:color="auto" w:sz="0" w:space="0"/>
        </w:rPr>
        <w:t>备案</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bdr w:val="none" w:color="auto" w:sz="0" w:space="0"/>
        </w:rPr>
        <w:t>网络安全等级保护备案工作流程如下</w:t>
      </w:r>
      <w:r>
        <w:rPr>
          <w:rFonts w:hint="eastAsia" w:ascii="宋体" w:hAnsi="宋体" w:eastAsia="宋体" w:cs="宋体"/>
          <w:b w:val="0"/>
          <w:bCs w:val="0"/>
          <w:color w:val="auto"/>
          <w:sz w:val="24"/>
          <w:szCs w:val="24"/>
          <w:bdr w:val="none" w:color="auto" w:sz="0" w:space="0"/>
          <w:lang w:eastAsia="zh-CN"/>
        </w:rPr>
        <w:t>：</w:t>
      </w:r>
      <w:bookmarkStart w:id="0" w:name="_GoBack"/>
      <w:bookmarkEnd w:id="0"/>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网络和信息系统运营、使用单位根据备案工作要求，将《网络安全等级保护备案表》、《网络安全等级保护定级报告》及上述要求的配套材料提前准备好，提交至属地公安机关网安部门审核；</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公安机关受理本辖区备案单位的等级保护备案，受理备案单位提交的备案材料；</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公安机关接收到备案材料后，对备案材料进行审核；</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对符合等级保护要求的，在收到备案材料之日起的10个工作日内颁发</w:t>
      </w:r>
      <w:r>
        <w:rPr>
          <w:rFonts w:hint="eastAsia" w:ascii="宋体" w:hAnsi="宋体" w:eastAsia="宋体" w:cs="宋体"/>
          <w:b w:val="0"/>
          <w:bCs w:val="0"/>
          <w:color w:val="auto"/>
          <w:sz w:val="24"/>
          <w:szCs w:val="24"/>
          <w:bdr w:val="none" w:color="auto" w:sz="0" w:space="0"/>
        </w:rPr>
        <w:t>信息系统安全等级保护备案证明</w:t>
      </w:r>
      <w:r>
        <w:rPr>
          <w:rFonts w:hint="eastAsia" w:ascii="宋体" w:hAnsi="宋体" w:eastAsia="宋体" w:cs="宋体"/>
          <w:b w:val="0"/>
          <w:bCs w:val="0"/>
          <w:color w:val="auto"/>
          <w:sz w:val="24"/>
          <w:szCs w:val="24"/>
          <w:bdr w:val="none" w:color="auto" w:sz="0" w:space="0"/>
        </w:rPr>
        <w:t>；发现不符合本办法及有关标准的，在收到备案材料之日起的10个工作日内通知备案单位予以纠正。</w:t>
      </w:r>
    </w:p>
    <w:p>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bdr w:val="none" w:color="auto" w:sz="0" w:space="0"/>
        </w:rPr>
        <w:t>建设整改</w:t>
      </w:r>
    </w:p>
    <w:p>
      <w:pPr>
        <w:keepNext w:val="0"/>
        <w:keepLines w:val="0"/>
        <w:pageBreakBefore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bCs/>
          <w:color w:val="auto"/>
          <w:sz w:val="24"/>
          <w:szCs w:val="24"/>
        </w:rPr>
      </w:pPr>
      <w:r>
        <w:rPr>
          <w:rFonts w:hint="eastAsia" w:ascii="宋体" w:hAnsi="宋体" w:eastAsia="宋体" w:cs="宋体"/>
          <w:b w:val="0"/>
          <w:bCs w:val="0"/>
          <w:color w:val="auto"/>
          <w:sz w:val="24"/>
          <w:szCs w:val="24"/>
        </w:rPr>
        <w:drawing>
          <wp:inline distT="0" distB="0" distL="114300" distR="114300">
            <wp:extent cx="5273040" cy="1708150"/>
            <wp:effectExtent l="0" t="0" r="0" b="139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
                    <a:stretch>
                      <a:fillRect/>
                    </a:stretch>
                  </pic:blipFill>
                  <pic:spPr>
                    <a:xfrm>
                      <a:off x="0" y="0"/>
                      <a:ext cx="5273040" cy="1708150"/>
                    </a:xfrm>
                    <a:prstGeom prst="rect">
                      <a:avLst/>
                    </a:prstGeom>
                    <a:noFill/>
                    <a:ln>
                      <a:noFill/>
                    </a:ln>
                  </pic:spPr>
                </pic:pic>
              </a:graphicData>
            </a:graphic>
          </wp:inline>
        </w:drawing>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bdr w:val="none" w:color="auto" w:sz="0" w:space="0"/>
        </w:rPr>
        <w:t>等级测评</w:t>
      </w:r>
    </w:p>
    <w:p>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360" w:leftChars="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drawing>
          <wp:inline distT="0" distB="0" distL="114300" distR="114300">
            <wp:extent cx="5620385" cy="1132840"/>
            <wp:effectExtent l="0" t="0" r="3175" b="1016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r:embed="rId6"/>
                    <a:stretch>
                      <a:fillRect/>
                    </a:stretch>
                  </pic:blipFill>
                  <pic:spPr>
                    <a:xfrm>
                      <a:off x="0" y="0"/>
                      <a:ext cx="5620385" cy="1132840"/>
                    </a:xfrm>
                    <a:prstGeom prst="rect">
                      <a:avLst/>
                    </a:prstGeom>
                    <a:noFill/>
                    <a:ln w="9525">
                      <a:noFill/>
                    </a:ln>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drawing>
          <wp:inline distT="0" distB="0" distL="114300" distR="114300">
            <wp:extent cx="5143500" cy="4991100"/>
            <wp:effectExtent l="0" t="0" r="7620" b="7620"/>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7"/>
                    <a:stretch>
                      <a:fillRect/>
                    </a:stretch>
                  </pic:blipFill>
                  <pic:spPr>
                    <a:xfrm>
                      <a:off x="0" y="0"/>
                      <a:ext cx="5143500" cy="4991100"/>
                    </a:xfrm>
                    <a:prstGeom prst="rect">
                      <a:avLst/>
                    </a:prstGeom>
                    <a:noFill/>
                    <a:ln w="9525">
                      <a:noFill/>
                    </a:ln>
                  </pic:spPr>
                </pic:pic>
              </a:graphicData>
            </a:graphic>
          </wp:inline>
        </w:drawing>
      </w:r>
    </w:p>
    <w:p>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bCs/>
          <w:color w:val="auto"/>
          <w:sz w:val="28"/>
          <w:szCs w:val="28"/>
          <w:bdr w:val="none" w:color="auto" w:sz="0" w:space="0"/>
        </w:rPr>
        <w:t>监督检查</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lang w:val="en-US" w:eastAsia="zh-CN"/>
        </w:rPr>
        <w:t>1、</w:t>
      </w:r>
      <w:r>
        <w:rPr>
          <w:rFonts w:hint="eastAsia" w:ascii="宋体" w:hAnsi="宋体" w:eastAsia="宋体" w:cs="宋体"/>
          <w:b w:val="0"/>
          <w:bCs w:val="0"/>
          <w:color w:val="auto"/>
          <w:sz w:val="24"/>
          <w:szCs w:val="24"/>
          <w:bdr w:val="none" w:color="auto" w:sz="0" w:space="0"/>
        </w:rPr>
        <w:t>定期自查与监督检查</w:t>
      </w:r>
    </w:p>
    <w:p>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drawing>
          <wp:inline distT="0" distB="0" distL="114300" distR="114300">
            <wp:extent cx="5271770" cy="1664335"/>
            <wp:effectExtent l="0" t="0" r="1270" b="1206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
                    <a:stretch>
                      <a:fillRect/>
                    </a:stretch>
                  </pic:blipFill>
                  <pic:spPr>
                    <a:xfrm>
                      <a:off x="0" y="0"/>
                      <a:ext cx="5271770" cy="1664335"/>
                    </a:xfrm>
                    <a:prstGeom prst="rect">
                      <a:avLst/>
                    </a:prstGeom>
                    <a:noFill/>
                    <a:ln>
                      <a:noFill/>
                    </a:ln>
                  </pic:spPr>
                </pic:pic>
              </a:graphicData>
            </a:graphic>
          </wp:inline>
        </w:drawing>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lang w:val="en-US" w:eastAsia="zh-CN"/>
        </w:rPr>
        <w:t>2、</w:t>
      </w:r>
      <w:r>
        <w:rPr>
          <w:rFonts w:hint="eastAsia" w:ascii="宋体" w:hAnsi="宋体" w:eastAsia="宋体" w:cs="宋体"/>
          <w:b w:val="0"/>
          <w:bCs w:val="0"/>
          <w:color w:val="auto"/>
          <w:sz w:val="24"/>
          <w:szCs w:val="24"/>
          <w:bdr w:val="none" w:color="auto" w:sz="0" w:space="0"/>
        </w:rPr>
        <w:t>检查内容</w:t>
      </w:r>
    </w:p>
    <w:p>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drawing>
          <wp:inline distT="0" distB="0" distL="114300" distR="114300">
            <wp:extent cx="5273040" cy="1520825"/>
            <wp:effectExtent l="0" t="0" r="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stretch>
                      <a:fillRect/>
                    </a:stretch>
                  </pic:blipFill>
                  <pic:spPr>
                    <a:xfrm>
                      <a:off x="0" y="0"/>
                      <a:ext cx="5273040" cy="1520825"/>
                    </a:xfrm>
                    <a:prstGeom prst="rect">
                      <a:avLst/>
                    </a:prstGeom>
                    <a:noFill/>
                    <a:ln>
                      <a:noFill/>
                    </a:ln>
                  </pic:spPr>
                </pic:pic>
              </a:graphicData>
            </a:graphic>
          </wp:inline>
        </w:drawing>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lang w:val="en-US" w:eastAsia="zh-CN"/>
        </w:rPr>
        <w:t>3、</w:t>
      </w:r>
      <w:r>
        <w:rPr>
          <w:rFonts w:hint="eastAsia" w:ascii="宋体" w:hAnsi="宋体" w:eastAsia="宋体" w:cs="宋体"/>
          <w:b w:val="0"/>
          <w:bCs w:val="0"/>
          <w:color w:val="auto"/>
          <w:sz w:val="24"/>
          <w:szCs w:val="24"/>
          <w:bdr w:val="none" w:color="auto" w:sz="0" w:space="0"/>
        </w:rPr>
        <w:t>检查工作要求</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网络运营者应当每年对本单位落实网络安全等级保护制度情况和网络安全状况至少开展一次自查，发现安全风险隐患及时整改，并向备案的公安机关报告。</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三级网络每年做测评可看做一次自查</w:t>
      </w:r>
      <w:r>
        <w:rPr>
          <w:rFonts w:hint="eastAsia" w:ascii="宋体" w:hAnsi="宋体" w:eastAsia="宋体" w:cs="宋体"/>
          <w:b w:val="0"/>
          <w:bCs w:val="0"/>
          <w:color w:val="auto"/>
          <w:sz w:val="24"/>
          <w:szCs w:val="24"/>
          <w:bdr w:val="none" w:color="auto" w:sz="0" w:space="0"/>
        </w:rPr>
        <w:t>，对二级网络来说，可能每年要向公安机关提交一份自查报告。</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bdr w:val="none" w:color="auto" w:sz="0" w:space="0"/>
        </w:rPr>
        <w:t>公安机关对第三级以上网络运营者每年至少开展一次安全检查。涉及相关行业的可以会同其行业主管部门开展安全检查。必要时，公安机关可以委托社会力量提供技术支持。</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eastAsia" w:ascii="宋体" w:hAnsi="宋体" w:eastAsia="宋体" w:cs="宋体"/>
          <w:b w:val="0"/>
          <w:bCs w:val="0"/>
          <w:color w:val="auto"/>
          <w:sz w:val="24"/>
          <w:szCs w:val="24"/>
        </w:rPr>
      </w:pPr>
    </w:p>
    <w:p>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ind w:left="0"/>
        <w:textAlignment w:val="auto"/>
        <w:rPr>
          <w:rFonts w:hint="eastAsia" w:ascii="宋体" w:hAnsi="宋体" w:eastAsia="宋体" w:cs="宋体"/>
          <w:b w:val="0"/>
          <w:bCs w:val="0"/>
          <w:color w:val="auto"/>
          <w:sz w:val="24"/>
          <w:szCs w:val="24"/>
        </w:rPr>
      </w:pPr>
    </w:p>
    <w:p>
      <w:pPr>
        <w:keepNext w:val="0"/>
        <w:keepLines w:val="0"/>
        <w:pageBreakBefore w:val="0"/>
        <w:kinsoku/>
        <w:wordWrap/>
        <w:overflowPunct/>
        <w:topLinePunct w:val="0"/>
        <w:autoSpaceDE/>
        <w:autoSpaceDN/>
        <w:bidi w:val="0"/>
        <w:adjustRightInd/>
        <w:snapToGrid/>
        <w:spacing w:beforeAutospacing="0" w:afterAutospacing="0"/>
        <w:ind w:left="0"/>
        <w:textAlignment w:val="auto"/>
        <w:rPr>
          <w:rFonts w:hint="eastAsia" w:ascii="宋体" w:hAnsi="宋体" w:eastAsia="宋体" w:cs="宋体"/>
          <w:b w:val="0"/>
          <w:bCs w:val="0"/>
          <w:color w:val="auto"/>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5B7A4"/>
    <w:multiLevelType w:val="multilevel"/>
    <w:tmpl w:val="A835B7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2D3C354"/>
    <w:multiLevelType w:val="multilevel"/>
    <w:tmpl w:val="C2D3C3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2EA4182"/>
    <w:multiLevelType w:val="multilevel"/>
    <w:tmpl w:val="C2EA41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73F476F"/>
    <w:multiLevelType w:val="multilevel"/>
    <w:tmpl w:val="173F47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F16F3FE"/>
    <w:multiLevelType w:val="multilevel"/>
    <w:tmpl w:val="2F16F3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489D2DB"/>
    <w:multiLevelType w:val="multilevel"/>
    <w:tmpl w:val="7489D2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s>
  <w:rsids>
    <w:rsidRoot w:val="00000000"/>
    <w:rsid w:val="030B72E4"/>
    <w:rsid w:val="04197EE5"/>
    <w:rsid w:val="0AC2351D"/>
    <w:rsid w:val="300C0C90"/>
    <w:rsid w:val="408E2E4C"/>
    <w:rsid w:val="60C821D7"/>
    <w:rsid w:val="62C52F94"/>
    <w:rsid w:val="744834A7"/>
    <w:rsid w:val="7C440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542</Words>
  <Characters>545</Characters>
  <Lines>0</Lines>
  <Paragraphs>0</Paragraphs>
  <TotalTime>20</TotalTime>
  <ScaleCrop>false</ScaleCrop>
  <LinksUpToDate>false</LinksUpToDate>
  <CharactersWithSpaces>545</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2025-05-25T11:54:25Z</dcterms:created>
  <dc:creator>Annie</dc:creator>
  <cp:lastModifiedBy>穆意</cp:lastModifiedBy>
  <dcterms:modified xsi:type="dcterms:W3CDTF">2025-05-25T12:15:25Z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B3034554580C4E9288FC008E101A860C</vt:lpwstr>
  </property>
</Properties>
</file>