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sz w:val="24"/>
          <w:szCs w:val="24"/>
        </w:rPr>
      </w:pPr>
      <w:r>
        <w:rPr>
          <w:rFonts w:hint="eastAsia" w:ascii="宋体" w:hAnsi="宋体" w:eastAsia="宋体" w:cs="宋体"/>
          <w:sz w:val="24"/>
          <w:szCs w:val="24"/>
        </w:rPr>
        <w:t>1.等级保护在1.0时代和2.0时代，安全类有什么变化?</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firstLine="240" w:firstLineChars="100"/>
        <w:jc w:val="both"/>
        <w:textAlignment w:val="auto"/>
        <w:rPr>
          <w:rFonts w:hint="eastAsia" w:ascii="宋体" w:hAnsi="宋体" w:eastAsia="宋体" w:cs="宋体"/>
          <w:sz w:val="24"/>
          <w:szCs w:val="24"/>
        </w:rPr>
      </w:pPr>
      <w:r>
        <w:rPr>
          <w:rFonts w:hint="eastAsia" w:ascii="宋体" w:hAnsi="宋体" w:eastAsia="宋体" w:cs="宋体"/>
          <w:color w:val="000000"/>
          <w:sz w:val="24"/>
          <w:szCs w:val="24"/>
          <w:bdr w:val="none" w:color="auto" w:sz="0" w:space="0"/>
        </w:rPr>
        <w:t>等保1.0标准更偏重于对于防护的要求，而等保2.0标准更适应当前网络安全形势的发展，结合《网安法》中对于持续监测、威胁情报、快速响应类的要求提出了具体的落地措施</w:t>
      </w:r>
    </w:p>
    <w:p>
      <w:pP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00650" cy="5038725"/>
            <wp:effectExtent l="0" t="0" r="11430" b="57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00650" cy="5038725"/>
                    </a:xfrm>
                    <a:prstGeom prst="rect">
                      <a:avLst/>
                    </a:prstGeom>
                    <a:noFill/>
                    <a:ln w="9525">
                      <a:noFill/>
                    </a:ln>
                  </pic:spPr>
                </pic:pic>
              </a:graphicData>
            </a:graphic>
          </wp:inline>
        </w:drawing>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jc w:val="both"/>
        <w:textAlignment w:val="auto"/>
        <w:rPr>
          <w:rFonts w:hint="eastAsia" w:ascii="宋体" w:hAnsi="宋体" w:eastAsia="宋体" w:cs="宋体"/>
          <w:sz w:val="24"/>
          <w:szCs w:val="24"/>
        </w:rPr>
      </w:pPr>
      <w:r>
        <w:rPr>
          <w:rFonts w:hint="eastAsia" w:ascii="宋体" w:hAnsi="宋体" w:eastAsia="宋体" w:cs="宋体"/>
          <w:color w:val="000000"/>
          <w:sz w:val="24"/>
          <w:szCs w:val="24"/>
          <w:bdr w:val="none" w:color="auto" w:sz="0" w:space="0"/>
          <w:lang w:val="en-US" w:eastAsia="zh-CN"/>
        </w:rPr>
        <w:t>4）</w:t>
      </w:r>
      <w:r>
        <w:rPr>
          <w:rFonts w:hint="eastAsia" w:ascii="宋体" w:hAnsi="宋体" w:eastAsia="宋体" w:cs="宋体"/>
          <w:color w:val="000000"/>
          <w:sz w:val="24"/>
          <w:szCs w:val="24"/>
          <w:bdr w:val="none" w:color="auto" w:sz="0" w:space="0"/>
        </w:rPr>
        <w:t>从等级保护1.0到等级保护2.0，由于基本要求结构的变化，新增了一些新的安全控制点，主要的变化有下列几个。</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firstLine="480" w:firstLineChars="200"/>
        <w:jc w:val="both"/>
        <w:textAlignment w:val="auto"/>
        <w:rPr>
          <w:rFonts w:hint="eastAsia" w:ascii="宋体" w:hAnsi="宋体" w:eastAsia="宋体" w:cs="宋体"/>
          <w:sz w:val="24"/>
          <w:szCs w:val="24"/>
        </w:rPr>
      </w:pPr>
      <w:r>
        <w:rPr>
          <w:rFonts w:hint="eastAsia" w:ascii="宋体" w:hAnsi="宋体" w:eastAsia="宋体" w:cs="宋体"/>
          <w:color w:val="000000"/>
          <w:sz w:val="24"/>
          <w:szCs w:val="24"/>
          <w:bdr w:val="none" w:color="auto" w:sz="0" w:space="0"/>
        </w:rPr>
        <w:t>新增“安全管理中心”安全类，新增“系统管理员、审计管理员、安全管理员、集中管控”四个控制点；</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firstLine="480" w:firstLineChars="200"/>
        <w:jc w:val="both"/>
        <w:textAlignment w:val="auto"/>
        <w:rPr>
          <w:rFonts w:hint="eastAsia" w:ascii="宋体" w:hAnsi="宋体" w:eastAsia="宋体" w:cs="宋体"/>
          <w:sz w:val="24"/>
          <w:szCs w:val="24"/>
        </w:rPr>
      </w:pPr>
      <w:r>
        <w:rPr>
          <w:rFonts w:hint="eastAsia" w:ascii="宋体" w:hAnsi="宋体" w:eastAsia="宋体" w:cs="宋体"/>
          <w:color w:val="000000"/>
          <w:sz w:val="24"/>
          <w:szCs w:val="24"/>
          <w:bdr w:val="none" w:color="auto" w:sz="0" w:space="0"/>
        </w:rPr>
        <w:t>新增个人信息保护；</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firstLine="480" w:firstLineChars="200"/>
        <w:jc w:val="both"/>
        <w:textAlignment w:val="auto"/>
        <w:rPr>
          <w:rFonts w:hint="eastAsia" w:ascii="宋体" w:hAnsi="宋体" w:eastAsia="宋体" w:cs="宋体"/>
          <w:sz w:val="24"/>
          <w:szCs w:val="24"/>
        </w:rPr>
      </w:pPr>
      <w:r>
        <w:rPr>
          <w:rFonts w:hint="eastAsia" w:ascii="宋体" w:hAnsi="宋体" w:eastAsia="宋体" w:cs="宋体"/>
          <w:color w:val="000000"/>
          <w:sz w:val="24"/>
          <w:szCs w:val="24"/>
          <w:bdr w:val="none" w:color="auto" w:sz="0" w:space="0"/>
        </w:rPr>
        <w:t>基于云计算的特性，新增的控制点有：“基础设施的位置”、“虚拟化安全保护”、“镜像和快照保护”、“云服务商选择”和“云计算环境管理”；</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firstLine="480" w:firstLineChars="200"/>
        <w:jc w:val="both"/>
        <w:textAlignment w:val="auto"/>
        <w:rPr>
          <w:rFonts w:hint="eastAsia" w:ascii="宋体" w:hAnsi="宋体" w:eastAsia="宋体" w:cs="宋体"/>
          <w:sz w:val="24"/>
          <w:szCs w:val="24"/>
        </w:rPr>
      </w:pPr>
      <w:r>
        <w:rPr>
          <w:rFonts w:hint="eastAsia" w:ascii="宋体" w:hAnsi="宋体" w:eastAsia="宋体" w:cs="宋体"/>
          <w:color w:val="000000"/>
          <w:sz w:val="24"/>
          <w:szCs w:val="24"/>
          <w:bdr w:val="none" w:color="auto" w:sz="0" w:space="0"/>
        </w:rPr>
        <w:t>基于移动互联的特性，新增的控制点有：“无线接入点的物理位置”、“移动终端管控”、“移动应用管控”、“移动应用软件采购”和“移动应用软件开发”；</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firstLine="480" w:firstLineChars="200"/>
        <w:jc w:val="both"/>
        <w:textAlignment w:val="auto"/>
        <w:rPr>
          <w:rFonts w:hint="eastAsia" w:ascii="宋体" w:hAnsi="宋体" w:eastAsia="宋体" w:cs="宋体"/>
          <w:sz w:val="24"/>
          <w:szCs w:val="24"/>
        </w:rPr>
      </w:pPr>
      <w:r>
        <w:rPr>
          <w:rFonts w:hint="eastAsia" w:ascii="宋体" w:hAnsi="宋体" w:eastAsia="宋体" w:cs="宋体"/>
          <w:color w:val="000000"/>
          <w:sz w:val="24"/>
          <w:szCs w:val="24"/>
          <w:bdr w:val="none" w:color="auto" w:sz="0" w:space="0"/>
        </w:rPr>
        <w:t>基于物联网的特性，新增的控制点有：感知节点的物理防护”、“感知节点设备安全”、“感知网关节点设备安全”、“感知节点的管理”和“数据融合处理”；</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firstLine="480" w:firstLineChars="200"/>
        <w:jc w:val="both"/>
        <w:textAlignment w:val="auto"/>
        <w:rPr>
          <w:rFonts w:hint="eastAsia" w:ascii="宋体" w:hAnsi="宋体" w:eastAsia="宋体" w:cs="宋体"/>
          <w:sz w:val="24"/>
          <w:szCs w:val="24"/>
        </w:rPr>
      </w:pPr>
      <w:r>
        <w:rPr>
          <w:rFonts w:hint="eastAsia" w:ascii="宋体" w:hAnsi="宋体" w:eastAsia="宋体" w:cs="宋体"/>
          <w:color w:val="000000"/>
          <w:sz w:val="24"/>
          <w:szCs w:val="24"/>
          <w:bdr w:val="none" w:color="auto" w:sz="0" w:space="0"/>
        </w:rPr>
        <w:t>基于工控系统的特性，新增的控制点有：室外控制设备防护”、“工业控制系统网络架构安全”、“拨号使用控制”、“无线使用控制”和“控制设备安全”。</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jc w:val="both"/>
        <w:textAlignment w:val="auto"/>
        <w:rPr>
          <w:rFonts w:hint="eastAsia" w:ascii="宋体" w:hAnsi="宋体" w:eastAsia="宋体" w:cs="宋体"/>
          <w:sz w:val="24"/>
          <w:szCs w:val="24"/>
        </w:rPr>
      </w:pPr>
      <w:r>
        <w:rPr>
          <w:rFonts w:hint="eastAsia" w:ascii="宋体" w:hAnsi="宋体" w:eastAsia="宋体" w:cs="宋体"/>
          <w:b/>
          <w:bCs/>
          <w:color w:val="262626"/>
          <w:sz w:val="24"/>
          <w:szCs w:val="24"/>
          <w:bdr w:val="none" w:color="auto" w:sz="0" w:space="0"/>
          <w:lang w:val="en-US" w:eastAsia="zh-CN"/>
        </w:rPr>
        <w:t>5）、</w:t>
      </w:r>
      <w:r>
        <w:rPr>
          <w:rFonts w:hint="eastAsia" w:ascii="宋体" w:hAnsi="宋体" w:eastAsia="宋体" w:cs="宋体"/>
          <w:b/>
          <w:bCs/>
          <w:color w:val="262626"/>
          <w:sz w:val="24"/>
          <w:szCs w:val="24"/>
          <w:bdr w:val="none" w:color="auto" w:sz="0" w:space="0"/>
        </w:rPr>
        <w:t>等级测评结论变化</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firstLine="480" w:firstLineChars="200"/>
        <w:jc w:val="both"/>
        <w:textAlignment w:val="auto"/>
        <w:rPr>
          <w:rFonts w:hint="eastAsia" w:ascii="宋体" w:hAnsi="宋体" w:eastAsia="宋体" w:cs="宋体"/>
          <w:sz w:val="24"/>
          <w:szCs w:val="24"/>
        </w:rPr>
      </w:pPr>
      <w:r>
        <w:rPr>
          <w:rFonts w:hint="eastAsia" w:ascii="宋体" w:hAnsi="宋体" w:eastAsia="宋体" w:cs="宋体"/>
          <w:color w:val="000000"/>
          <w:sz w:val="24"/>
          <w:szCs w:val="24"/>
          <w:bdr w:val="none" w:color="auto" w:sz="0" w:space="0"/>
        </w:rPr>
        <w:t>等级保护测评结论为“符合、部分符合、不符合”，主要由综合得分决定。</w:t>
      </w:r>
      <w:r>
        <w:rPr>
          <w:rFonts w:hint="eastAsia" w:ascii="宋体" w:hAnsi="宋体" w:eastAsia="宋体" w:cs="宋体"/>
          <w:color w:val="000000"/>
          <w:sz w:val="24"/>
          <w:szCs w:val="24"/>
          <w:bdr w:val="none" w:color="auto" w:sz="0" w:space="0"/>
          <w:lang w:val="en-US" w:eastAsia="zh-CN"/>
        </w:rPr>
        <w:t>变为</w:t>
      </w:r>
      <w:r>
        <w:rPr>
          <w:rFonts w:hint="eastAsia" w:ascii="宋体" w:hAnsi="宋体" w:eastAsia="宋体" w:cs="宋体"/>
          <w:color w:val="000000"/>
          <w:sz w:val="24"/>
          <w:szCs w:val="24"/>
          <w:bdr w:val="none" w:color="auto" w:sz="0" w:space="0"/>
        </w:rPr>
        <w:t>等级测评结论为“优、良、中、差”</w:t>
      </w:r>
      <w:r>
        <w:rPr>
          <w:rFonts w:hint="eastAsia" w:ascii="宋体" w:hAnsi="宋体" w:eastAsia="宋体" w:cs="宋体"/>
          <w:color w:val="000000"/>
          <w:sz w:val="24"/>
          <w:szCs w:val="24"/>
          <w:bdr w:val="none" w:color="auto" w:sz="0" w:space="0"/>
          <w:lang w:eastAsia="zh-CN"/>
        </w:rPr>
        <w:t>，</w:t>
      </w:r>
      <w:r>
        <w:rPr>
          <w:rFonts w:hint="eastAsia" w:ascii="宋体" w:hAnsi="宋体" w:eastAsia="宋体" w:cs="宋体"/>
          <w:color w:val="000000"/>
          <w:sz w:val="24"/>
          <w:szCs w:val="24"/>
          <w:bdr w:val="none" w:color="auto" w:sz="0" w:space="0"/>
        </w:rPr>
        <w:t>当等级保护对象存在高风险或等级测评综合得分低于70分，可判定等级保护对象安全防护能力无法满足网络安全等级保护基本要求。</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jc w:val="both"/>
        <w:textAlignment w:val="auto"/>
        <w:rPr>
          <w:rFonts w:hint="eastAsia" w:ascii="宋体" w:hAnsi="宋体" w:eastAsia="宋体" w:cs="宋体"/>
          <w:sz w:val="24"/>
          <w:szCs w:val="24"/>
        </w:rPr>
      </w:pPr>
      <w:r>
        <w:rPr>
          <w:rFonts w:hint="eastAsia" w:ascii="宋体" w:hAnsi="宋体" w:eastAsia="宋体" w:cs="宋体"/>
          <w:b/>
          <w:bCs/>
          <w:color w:val="262626"/>
          <w:sz w:val="24"/>
          <w:szCs w:val="24"/>
          <w:bdr w:val="none" w:color="auto" w:sz="0" w:space="0"/>
          <w:lang w:val="en-US" w:eastAsia="zh-CN"/>
        </w:rPr>
        <w:t>6）、</w:t>
      </w:r>
      <w:r>
        <w:rPr>
          <w:rFonts w:hint="eastAsia" w:ascii="宋体" w:hAnsi="宋体" w:eastAsia="宋体" w:cs="宋体"/>
          <w:b/>
          <w:bCs/>
          <w:color w:val="262626"/>
          <w:sz w:val="24"/>
          <w:szCs w:val="24"/>
          <w:bdr w:val="none" w:color="auto" w:sz="0" w:space="0"/>
        </w:rPr>
        <w:t>定级及测评方式变化</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firstLine="480" w:firstLineChars="200"/>
        <w:jc w:val="both"/>
        <w:textAlignment w:val="auto"/>
        <w:rPr>
          <w:rFonts w:hint="eastAsia" w:ascii="宋体" w:hAnsi="宋体" w:eastAsia="宋体" w:cs="宋体"/>
          <w:color w:val="000000"/>
          <w:sz w:val="24"/>
          <w:szCs w:val="24"/>
          <w:bdr w:val="none" w:color="auto" w:sz="0" w:space="0"/>
        </w:rPr>
      </w:pPr>
      <w:r>
        <w:rPr>
          <w:rFonts w:hint="eastAsia" w:ascii="宋体" w:hAnsi="宋体" w:eastAsia="宋体" w:cs="宋体"/>
          <w:b w:val="0"/>
          <w:bCs w:val="0"/>
          <w:color w:val="000000"/>
          <w:sz w:val="24"/>
          <w:szCs w:val="24"/>
          <w:bdr w:val="none" w:color="auto" w:sz="0" w:space="0"/>
          <w:lang w:val="en-US" w:eastAsia="zh-CN"/>
        </w:rPr>
        <w:t>1.0：</w:t>
      </w:r>
      <w:r>
        <w:rPr>
          <w:rFonts w:hint="eastAsia" w:ascii="宋体" w:hAnsi="宋体" w:eastAsia="宋体" w:cs="宋体"/>
          <w:color w:val="000000"/>
          <w:sz w:val="24"/>
          <w:szCs w:val="24"/>
          <w:bdr w:val="none" w:color="auto" w:sz="0" w:space="0"/>
        </w:rPr>
        <w:t>等级保护对象网络运营者“自主定级、自主保护”；等保1.0对于第四级系统每半年进行一次等级测评，第三级系统每年测评一次。</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left="0" w:firstLine="240" w:firstLineChars="100"/>
        <w:jc w:val="both"/>
        <w:textAlignment w:val="auto"/>
        <w:rPr>
          <w:rFonts w:hint="eastAsia" w:ascii="宋体" w:hAnsi="宋体" w:eastAsia="宋体" w:cs="宋体"/>
          <w:sz w:val="24"/>
          <w:szCs w:val="24"/>
        </w:rPr>
      </w:pPr>
      <w:r>
        <w:rPr>
          <w:rFonts w:hint="eastAsia" w:ascii="宋体" w:hAnsi="宋体" w:eastAsia="宋体" w:cs="宋体"/>
          <w:color w:val="000000"/>
          <w:sz w:val="24"/>
          <w:szCs w:val="24"/>
          <w:bdr w:val="none" w:color="auto" w:sz="0" w:space="0"/>
          <w:lang w:val="en-US" w:eastAsia="zh-CN"/>
        </w:rPr>
        <w:t>变为2.0：</w:t>
      </w:r>
      <w:r>
        <w:rPr>
          <w:rFonts w:hint="eastAsia" w:ascii="宋体" w:hAnsi="宋体" w:eastAsia="宋体" w:cs="宋体"/>
          <w:color w:val="000000"/>
          <w:sz w:val="24"/>
          <w:szCs w:val="24"/>
          <w:bdr w:val="none" w:color="auto" w:sz="0" w:space="0"/>
        </w:rPr>
        <w:t>定级过程中加强主管部门审核及第三方专家评审的作用；第三级及以上的系统每年测评一次。</w:t>
      </w:r>
    </w:p>
    <w:p>
      <w:pPr>
        <w:keepNext w:val="0"/>
        <w:keepLines w:val="0"/>
        <w:widowControl/>
        <w:numPr>
          <w:ilvl w:val="0"/>
          <w:numId w:val="1"/>
        </w:numPr>
        <w:suppressLineNumbers w:val="0"/>
        <w:spacing w:before="0" w:beforeAutospacing="1" w:after="0" w:afterAutospacing="1"/>
        <w:ind w:left="1440" w:hanging="360"/>
        <w:rPr>
          <w:rFonts w:hint="eastAsia" w:ascii="宋体" w:hAnsi="宋体" w:eastAsia="宋体" w:cs="宋体"/>
          <w:sz w:val="24"/>
          <w:szCs w:val="24"/>
        </w:rPr>
      </w:pPr>
      <w:bookmarkStart w:id="0" w:name="_GoBack"/>
      <w:bookmarkEnd w:id="0"/>
    </w:p>
    <w:p>
      <w:pPr>
        <w:rPr>
          <w:rFonts w:hint="eastAsia"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华文楷体">
    <w:panose1 w:val="02010600040101010101"/>
    <w:charset w:val="86"/>
    <w:family w:val="auto"/>
    <w:pitch w:val="default"/>
    <w:sig w:usb0="00000287" w:usb1="080F0000" w:usb2="00000000" w:usb3="00000000" w:csb0="0004009F" w:csb1="DFD70000"/>
  </w:font>
  <w:font w:name="Arial">
    <w:panose1 w:val="020B0604020202020204"/>
    <w:charset w:val="00"/>
    <w:family w:val="auto"/>
    <w:pitch w:val="default"/>
    <w:sig w:usb0="E0002EFF" w:usb1="C000785B" w:usb2="00000009" w:usb3="00000000" w:csb0="400001FF" w:csb1="FFFF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84FACA"/>
    <w:multiLevelType w:val="multilevel"/>
    <w:tmpl w:val="8B84FAC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cyODMxYTE0ZTc0ZGU3Y2QwODc3MzYzN2Q1YmNiM2EifQ=="/>
  </w:docVars>
  <w:rsids>
    <w:rsidRoot w:val="00000000"/>
    <w:rsid w:val="18CC6F65"/>
    <w:rsid w:val="29023E15"/>
    <w:rsid w:val="2DAC4534"/>
    <w:rsid w:val="37F35CB8"/>
    <w:rsid w:val="3D0A5745"/>
    <w:rsid w:val="608153E0"/>
    <w:rsid w:val="623A7564"/>
    <w:rsid w:val="7A0348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720</Words>
  <Characters>740</Characters>
  <Lines>0</Lines>
  <Paragraphs>0</Paragraphs>
  <TotalTime>26</TotalTime>
  <ScaleCrop>false</ScaleCrop>
  <LinksUpToDate>false</LinksUpToDate>
  <CharactersWithSpaces>740</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2025-05-25T11:26:12Z</dcterms:created>
  <dc:creator>Annie</dc:creator>
  <cp:lastModifiedBy>穆意</cp:lastModifiedBy>
  <dcterms:modified xsi:type="dcterms:W3CDTF">2025-05-25T11:52:49Z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131AFDEC510B49E1BA0BFA958860C28D</vt:lpwstr>
  </property>
</Properties>
</file>