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补充1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用补码</w:t>
      </w:r>
      <w:r>
        <w:rPr>
          <w:rFonts w:ascii="Times New Roman" w:hAnsi="Times New Roman" w:eastAsia="宋体" w:cs="Times New Roman"/>
          <w:sz w:val="24"/>
          <w:szCs w:val="24"/>
        </w:rPr>
        <w:t>1位乘法计算[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XY</w:t>
      </w:r>
      <w:r>
        <w:rPr>
          <w:rFonts w:ascii="Times New Roman" w:hAnsi="Times New Roman" w:eastAsia="宋体" w:cs="Times New Roman"/>
          <w:sz w:val="24"/>
          <w:szCs w:val="24"/>
        </w:rPr>
        <w:t>]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补</w:t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rPr>
          <w:rFonts w:hint="eastAsia" w:ascii="Times New Roman" w:hAnsi="Times New Roman" w:eastAsia="宋体" w:cs="Times New Roman"/>
          <w:sz w:val="24"/>
          <w:szCs w:val="24"/>
        </w:rPr>
        <w:t>?，</w:t>
      </w:r>
      <w:r>
        <w:rPr>
          <w:rFonts w:ascii="Times New Roman" w:hAnsi="Times New Roman" w:eastAsia="宋体" w:cs="Times New Roman"/>
          <w:sz w:val="24"/>
          <w:szCs w:val="24"/>
        </w:rPr>
        <w:t>其中</w:t>
      </w:r>
      <w:r>
        <w:rPr>
          <w:rFonts w:hint="eastAsia" w:ascii="Times New Roman" w:hAnsi="Times New Roman" w:eastAsia="宋体" w:cs="Times New Roman"/>
          <w:sz w:val="24"/>
          <w:szCs w:val="24"/>
        </w:rPr>
        <w:t>X=-0.1001，Y=-0.1010，</w:t>
      </w:r>
      <w:r>
        <w:rPr>
          <w:rFonts w:ascii="Times New Roman" w:hAnsi="Times New Roman" w:eastAsia="宋体" w:cs="Times New Roman"/>
          <w:sz w:val="24"/>
          <w:szCs w:val="24"/>
        </w:rPr>
        <w:t>写出计算过程。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设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35" o:spt="75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3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，B=X补=11.0111, -B=00.1001，C=Y补=1.0110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采用补码一位乘法的具体过程如下：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531"/>
        <w:gridCol w:w="1531"/>
        <w:gridCol w:w="1503"/>
        <w:gridCol w:w="1559"/>
        <w:gridCol w:w="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步数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条件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操作</w:t>
            </w:r>
          </w:p>
        </w:tc>
        <w:tc>
          <w:tcPr>
            <w:tcW w:w="150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00.0000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.0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110</w:t>
            </w: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u w:val="single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第一步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+0</w:t>
            </w:r>
          </w:p>
        </w:tc>
        <w:tc>
          <w:tcPr>
            <w:tcW w:w="1503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+00.0000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00.0000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150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00.0000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01.0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u w:val="single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第二步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503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+00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.10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150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00.0100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101.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u w:val="single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第三步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11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+0</w:t>
            </w:r>
          </w:p>
        </w:tc>
        <w:tc>
          <w:tcPr>
            <w:tcW w:w="1503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+00.00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00.0100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150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00.0010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0101.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u w:val="single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第四步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503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+11.0111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11.1001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150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11.1100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10101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.</w:t>
            </w: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u w:val="single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第五步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4"/>
                <w:sz w:val="24"/>
                <w:szCs w:val="24"/>
              </w:rPr>
              <w:object>
                <v:shape id="_x0000_i1036" o:spt="75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503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+00.100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00.0101</w:t>
            </w:r>
          </w:p>
        </w:tc>
        <w:tc>
          <w:tcPr>
            <w:tcW w:w="1559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1010</w:t>
            </w:r>
          </w:p>
        </w:tc>
        <w:tc>
          <w:tcPr>
            <w:tcW w:w="65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则</w:t>
      </w:r>
      <w:r>
        <w:rPr>
          <w:rFonts w:ascii="Times New Roman" w:hAnsi="Times New Roman" w:eastAsia="宋体" w:cs="Times New Roman"/>
          <w:sz w:val="24"/>
          <w:szCs w:val="24"/>
        </w:rPr>
        <w:t>[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XY</w:t>
      </w:r>
      <w:r>
        <w:rPr>
          <w:rFonts w:ascii="Times New Roman" w:hAnsi="Times New Roman" w:eastAsia="宋体" w:cs="Times New Roman"/>
          <w:sz w:val="24"/>
          <w:szCs w:val="24"/>
        </w:rPr>
        <w:t>]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补</w:t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rPr>
          <w:rFonts w:hint="eastAsia" w:ascii="Times New Roman" w:hAnsi="Times New Roman" w:eastAsia="宋体" w:cs="Times New Roman"/>
          <w:sz w:val="24"/>
          <w:szCs w:val="24"/>
        </w:rPr>
        <w:t>0.01011010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补充2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用原码不恢复余数除法计算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÷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Y</w:t>
      </w:r>
      <w:r>
        <w:rPr>
          <w:rFonts w:ascii="Times New Roman" w:hAnsi="Times New Roman" w:eastAsia="宋体" w:cs="Times New Roman"/>
          <w:sz w:val="24"/>
          <w:szCs w:val="24"/>
        </w:rPr>
        <w:t>=?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其中</w:t>
      </w:r>
      <w:r>
        <w:rPr>
          <w:rFonts w:hint="eastAsia" w:ascii="Times New Roman" w:hAnsi="Times New Roman" w:eastAsia="宋体" w:cs="Times New Roman"/>
          <w:sz w:val="24"/>
          <w:szCs w:val="24"/>
        </w:rPr>
        <w:t>X=-0.1001，Y=-0.1101，</w:t>
      </w:r>
      <w:r>
        <w:rPr>
          <w:rFonts w:ascii="Times New Roman" w:hAnsi="Times New Roman" w:eastAsia="宋体" w:cs="Times New Roman"/>
          <w:sz w:val="24"/>
          <w:szCs w:val="24"/>
        </w:rPr>
        <w:t>写出计算过程。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设A=|X|=00.1001，B=|Y|=00.1101，则-B=11.0011，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37" o:spt="75" type="#_x0000_t75" style="height:20.25pt;width:8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7" DrawAspect="Content" ObjectID="_1468075727" r:id="rId8">
            <o:LockedField>false</o:LockedField>
          </o:OLEObject>
        </w:objec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1320"/>
        <w:gridCol w:w="1234"/>
        <w:gridCol w:w="1481"/>
        <w:gridCol w:w="1115"/>
        <w:gridCol w:w="1323"/>
        <w:gridCol w:w="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步数</w:t>
            </w: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条件</w:t>
            </w: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操作</w:t>
            </w:r>
          </w:p>
        </w:tc>
        <w:tc>
          <w:tcPr>
            <w:tcW w:w="1481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  <w:vertAlign w:val="subscript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48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00.1001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0.000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第一步</w:t>
            </w: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←</w:t>
            </w:r>
          </w:p>
        </w:tc>
        <w:tc>
          <w:tcPr>
            <w:tcW w:w="148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01.0010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4"/>
                <w:sz w:val="24"/>
                <w:szCs w:val="24"/>
              </w:rPr>
              <w:object>
                <v:shape id="_x0000_i1038" o:spt="75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1481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+11.0011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00.0101</w:t>
            </w:r>
          </w:p>
        </w:tc>
        <w:tc>
          <w:tcPr>
            <w:tcW w:w="111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.000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Q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第二步</w:t>
            </w: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←</w:t>
            </w:r>
          </w:p>
        </w:tc>
        <w:tc>
          <w:tcPr>
            <w:tcW w:w="148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481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+11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011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11.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.00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Q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第三步</w:t>
            </w: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=0</w:t>
            </w: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←</w:t>
            </w:r>
          </w:p>
        </w:tc>
        <w:tc>
          <w:tcPr>
            <w:tcW w:w="148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11.1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010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+B</w:t>
            </w:r>
          </w:p>
        </w:tc>
        <w:tc>
          <w:tcPr>
            <w:tcW w:w="1481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+00.110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color="auto" w:sz="4" w:space="0"/>
            </w:tcBorders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11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.01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Q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第四步</w:t>
            </w: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=1</w:t>
            </w: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←</w:t>
            </w:r>
          </w:p>
        </w:tc>
        <w:tc>
          <w:tcPr>
            <w:tcW w:w="148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110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-B</w:t>
            </w:r>
          </w:p>
        </w:tc>
        <w:tc>
          <w:tcPr>
            <w:tcW w:w="1481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ind w:firstLine="240" w:firstLineChars="1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+11.0011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i/>
                <w:iCs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12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88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　 00.000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i/>
                <w:iCs/>
                <w:position w:val="-12"/>
                <w:sz w:val="24"/>
                <w:szCs w:val="24"/>
              </w:rPr>
              <w:object>
                <v:shape id="_x0000_i1039" o:spt="75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29" r:id="rId11">
                  <o:LockedField>false</o:LockedField>
                </o:OLEObject>
              </w:object>
            </w:r>
          </w:p>
        </w:tc>
        <w:tc>
          <w:tcPr>
            <w:tcW w:w="132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0.1011</w:t>
            </w:r>
          </w:p>
        </w:tc>
        <w:tc>
          <w:tcPr>
            <w:tcW w:w="64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Q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4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则商为0.1011，余数为-0.0001*2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-4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OWYwMGQxZDcxMDNhOWUyMTBmZTFkY2FlYjY2ZmMifQ=="/>
  </w:docVars>
  <w:rsids>
    <w:rsidRoot w:val="00000000"/>
    <w:rsid w:val="2B2279B1"/>
    <w:rsid w:val="5309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2023-03-23T13:17:00Z</dcterms:created>
  <dc:creator>Lenovo</dc:creator>
  <cp:lastModifiedBy>阿伟</cp:lastModifiedBy>
  <dcterms:modified xsi:type="dcterms:W3CDTF">2024-04-16T05:46:01Z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D06F57BA427B495599B89E7CAD2F4D02</vt:lpwstr>
  </property>
</Properties>
</file>