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4BA" w:rsidRPr="009304BA" w:rsidRDefault="009304BA" w:rsidP="009304BA">
      <w:pPr>
        <w:jc w:val="center"/>
        <w:rPr>
          <w:rFonts w:ascii="Times New Roman" w:hAnsi="Times New Roman" w:cs="Times New Roman"/>
          <w:b/>
          <w:bCs/>
        </w:rPr>
      </w:pPr>
      <w:r w:rsidRPr="009304BA">
        <w:rPr>
          <w:rFonts w:ascii="Times New Roman" w:hAnsi="Times New Roman" w:cs="Times New Roman"/>
          <w:b/>
          <w:bCs/>
        </w:rPr>
        <w:t>THE EFFECTS OF ELECTRONIC BANKING ON FINANCIAL INCLUSION OF DEPOSIT MONEY BANKS IN NIGERIA</w:t>
      </w:r>
    </w:p>
    <w:p w:rsidR="00EA577E" w:rsidRPr="00EA577E" w:rsidRDefault="00EA577E" w:rsidP="00EA577E">
      <w:pPr>
        <w:rPr>
          <w:rFonts w:ascii="Times New Roman" w:hAnsi="Times New Roman" w:cs="Times New Roman"/>
          <w:b/>
          <w:bCs/>
        </w:rPr>
      </w:pPr>
      <w:r>
        <w:rPr>
          <w:rFonts w:ascii="Times New Roman" w:hAnsi="Times New Roman" w:cs="Times New Roman"/>
          <w:b/>
          <w:bCs/>
        </w:rPr>
        <w:t xml:space="preserve">Abstract </w:t>
      </w:r>
    </w:p>
    <w:p w:rsidR="00EA577E" w:rsidRPr="00EA577E" w:rsidRDefault="00EA577E" w:rsidP="00EA577E">
      <w:pPr>
        <w:jc w:val="both"/>
        <w:rPr>
          <w:rFonts w:ascii="Times New Roman" w:hAnsi="Times New Roman" w:cs="Times New Roman"/>
          <w:bCs/>
        </w:rPr>
      </w:pPr>
      <w:r w:rsidRPr="00EA577E">
        <w:rPr>
          <w:rFonts w:ascii="Times New Roman" w:hAnsi="Times New Roman" w:cs="Times New Roman"/>
          <w:bCs/>
        </w:rPr>
        <w:t>This study investigates the effects of electronic banking on financial inclusion in Nigeria, focusing specifically on account penetration among deposit money banks. As digital banking channels such as Automated Teller Machines (ATMs) and Point of Sale (POS) terminals continue to expand, the research assesses how these technologies influence the ability of individuals to own formal bank accounts. Using panel data from 14 quoted Nigerian banks over a six-year period (2019–2024), the study adopts a quantitative approach and applies fixed effects regression models to analyze the relationship between electronic banking usage and account ownership. The findings reveal that both ATM and POS transaction volumes and values have statistically significant positive effects on account penetration, with POS channels showing a comparatively stronger impact. These results underscore the critical role of agent-based digital banking networks in driving financial inclusion and bridging access gaps, particularly among underserved populations. The study provides valuable insights for policymakers, regulators, and bank managers, emphasizing the need for targeted investments in inclusive digital infrastructure to advance Nigeria’s financial inclusion objectives.</w:t>
      </w:r>
    </w:p>
    <w:p w:rsidR="00EA577E" w:rsidRDefault="00EA577E" w:rsidP="00EA577E">
      <w:pPr>
        <w:rPr>
          <w:rFonts w:ascii="Times New Roman" w:hAnsi="Times New Roman" w:cs="Times New Roman"/>
          <w:b/>
          <w:bCs/>
        </w:rPr>
      </w:pPr>
      <w:r w:rsidRPr="00EA577E">
        <w:rPr>
          <w:rFonts w:ascii="Times New Roman" w:hAnsi="Times New Roman" w:cs="Times New Roman"/>
          <w:b/>
          <w:bCs/>
        </w:rPr>
        <w:t>Keywords: Financial Inclusion, Account Penetration, Electronic Banking, POS Terminals, ATMs, Deposit Money Banks, Nigeria</w:t>
      </w:r>
    </w:p>
    <w:p w:rsidR="009304BA" w:rsidRPr="009304BA" w:rsidRDefault="009304BA" w:rsidP="00EA577E">
      <w:pPr>
        <w:rPr>
          <w:rFonts w:ascii="Times New Roman" w:hAnsi="Times New Roman" w:cs="Times New Roman"/>
          <w:b/>
          <w:bCs/>
        </w:rPr>
      </w:pPr>
      <w:r w:rsidRPr="009304BA">
        <w:rPr>
          <w:rFonts w:ascii="Times New Roman" w:hAnsi="Times New Roman" w:cs="Times New Roman"/>
          <w:b/>
          <w:bCs/>
        </w:rPr>
        <w:t>INTRODUCTION</w:t>
      </w:r>
    </w:p>
    <w:p w:rsidR="006E6590" w:rsidRPr="006E6590" w:rsidRDefault="006E6590" w:rsidP="006E6590">
      <w:pPr>
        <w:jc w:val="both"/>
        <w:rPr>
          <w:rFonts w:ascii="Times New Roman" w:hAnsi="Times New Roman" w:cs="Times New Roman"/>
        </w:rPr>
      </w:pPr>
      <w:r w:rsidRPr="006E6590">
        <w:rPr>
          <w:rFonts w:ascii="Times New Roman" w:hAnsi="Times New Roman" w:cs="Times New Roman"/>
        </w:rPr>
        <w:t>The banking sector has undergone a global transformation due to the quick development of information and communication technology, with electronic banking becoming a vital instrument for improving the provision of financial services. The use of electronic banking channels, especially Automated Teller Machines (ATMs) and Point of Sale (POS) terminals, has significantly changed the financial services industry in Nigeria. In order to address the nation's financial inclusion issues, this technical advancement has grown in significance.</w:t>
      </w:r>
    </w:p>
    <w:p w:rsidR="006E6590" w:rsidRPr="006E6590" w:rsidRDefault="006E6590" w:rsidP="006E6590">
      <w:pPr>
        <w:jc w:val="both"/>
        <w:rPr>
          <w:rFonts w:ascii="Times New Roman" w:hAnsi="Times New Roman" w:cs="Times New Roman"/>
        </w:rPr>
      </w:pPr>
      <w:r w:rsidRPr="006E6590">
        <w:rPr>
          <w:rFonts w:ascii="Times New Roman" w:hAnsi="Times New Roman" w:cs="Times New Roman"/>
        </w:rPr>
        <w:t>One of Nigeria's top development priorities continues to be financial inclusion, which is the availability and equality of possibilities to access financial services. Nigeria still has a long way to go in integrating its sizable unbanked population into the official financial system, despite having the biggest economy in Africa. Nigeria's formal financial inclusion rate increased from 56% in 2020 to 64</w:t>
      </w:r>
      <w:bookmarkStart w:id="0" w:name="_GoBack"/>
      <w:bookmarkEnd w:id="0"/>
      <w:r w:rsidRPr="006E6590">
        <w:rPr>
          <w:rFonts w:ascii="Times New Roman" w:hAnsi="Times New Roman" w:cs="Times New Roman"/>
        </w:rPr>
        <w:t xml:space="preserve">% in 2023, according to new data from the </w:t>
      </w:r>
      <w:proofErr w:type="spellStart"/>
      <w:r w:rsidRPr="006E6590">
        <w:rPr>
          <w:rFonts w:ascii="Times New Roman" w:hAnsi="Times New Roman" w:cs="Times New Roman"/>
        </w:rPr>
        <w:t>EFInA</w:t>
      </w:r>
      <w:proofErr w:type="spellEnd"/>
      <w:r w:rsidRPr="006E6590">
        <w:rPr>
          <w:rFonts w:ascii="Times New Roman" w:hAnsi="Times New Roman" w:cs="Times New Roman"/>
        </w:rPr>
        <w:t xml:space="preserve"> 2023 Access to Financial Services Survey; yet, this still falls short of the nation's lofty goals (</w:t>
      </w:r>
      <w:proofErr w:type="spellStart"/>
      <w:r w:rsidRPr="006E6590">
        <w:rPr>
          <w:rFonts w:ascii="Times New Roman" w:hAnsi="Times New Roman" w:cs="Times New Roman"/>
        </w:rPr>
        <w:t>EFInA</w:t>
      </w:r>
      <w:proofErr w:type="spellEnd"/>
      <w:r w:rsidRPr="006E6590">
        <w:rPr>
          <w:rFonts w:ascii="Times New Roman" w:hAnsi="Times New Roman" w:cs="Times New Roman"/>
        </w:rPr>
        <w:t>, 2023). Financial inclusion, according to the Central Bank of Nigeria's current assessments, is 64.1%, which is less than the 80% goal set by the end of 2020 (CBN, 2024).</w:t>
      </w:r>
    </w:p>
    <w:p w:rsidR="006E6590" w:rsidRPr="006E6590" w:rsidRDefault="006E6590" w:rsidP="006E6590">
      <w:pPr>
        <w:jc w:val="both"/>
        <w:rPr>
          <w:rFonts w:ascii="Times New Roman" w:hAnsi="Times New Roman" w:cs="Times New Roman"/>
        </w:rPr>
      </w:pPr>
      <w:r w:rsidRPr="006E6590">
        <w:rPr>
          <w:rFonts w:ascii="Times New Roman" w:hAnsi="Times New Roman" w:cs="Times New Roman"/>
        </w:rPr>
        <w:t xml:space="preserve">A potential remedy for these inclusion issues is electronic banking, which lowers transaction costs, removes geographical restrictions, and offers easy access to financial services. In Nigeria, the widespread installation of POS terminals and ATMs has opened up new channels for the </w:t>
      </w:r>
      <w:r w:rsidRPr="006E6590">
        <w:rPr>
          <w:rFonts w:ascii="Times New Roman" w:hAnsi="Times New Roman" w:cs="Times New Roman"/>
        </w:rPr>
        <w:lastRenderedPageBreak/>
        <w:t>supply of financial services, especially in underserved areas. Nigerians now rely on digital financial solutions instead of traditional brick-and-mortar branches for banking services, thanks to these electronic channels. Notwithstanding the fact that the use of digital financial services is still lower in Nigeria than in peer nations, a recent report by the International Monetary Fund (2023) highlights the need for Nigeria's financial inclusion strategy to more methodically tap into fast evolving digital instruments.</w:t>
      </w:r>
    </w:p>
    <w:p w:rsidR="009304BA" w:rsidRPr="009304BA" w:rsidRDefault="009304BA" w:rsidP="009304BA">
      <w:pPr>
        <w:jc w:val="both"/>
        <w:rPr>
          <w:rFonts w:ascii="Times New Roman" w:hAnsi="Times New Roman" w:cs="Times New Roman"/>
          <w:b/>
          <w:bCs/>
        </w:rPr>
      </w:pPr>
      <w:r w:rsidRPr="009304BA">
        <w:rPr>
          <w:rFonts w:ascii="Times New Roman" w:hAnsi="Times New Roman" w:cs="Times New Roman"/>
          <w:b/>
          <w:bCs/>
        </w:rPr>
        <w:t>Statement of the Problem</w:t>
      </w:r>
    </w:p>
    <w:p w:rsidR="006E6590" w:rsidRPr="006E6590" w:rsidRDefault="006E6590" w:rsidP="006E6590">
      <w:pPr>
        <w:jc w:val="both"/>
        <w:rPr>
          <w:rFonts w:ascii="Times New Roman" w:hAnsi="Times New Roman" w:cs="Times New Roman"/>
        </w:rPr>
      </w:pPr>
      <w:r w:rsidRPr="006E6590">
        <w:rPr>
          <w:rFonts w:ascii="Times New Roman" w:hAnsi="Times New Roman" w:cs="Times New Roman"/>
        </w:rPr>
        <w:t>The necessity to experimentally demonstrate the connection between financial inclusion results in Nigeria's deposit money banks and electronic banking channels is the main focus of the research challenge. Although theoretical arguments indicate that electronic banking should improve financial inclusion, a thorough examination is necessary to determine the actual impact in the Nigerian situation. According to recent studies, cultural norms, low literacy, and restricted access to information continue to exacerbate the gender gap, as seen by the fact that only 47% of women and 58% of men, respectively, accessed formal financial services in 2023 (Women's World Banking, 2025).</w:t>
      </w:r>
    </w:p>
    <w:p w:rsidR="009304BA" w:rsidRPr="00165439" w:rsidRDefault="006E6590" w:rsidP="009304BA">
      <w:pPr>
        <w:jc w:val="both"/>
        <w:rPr>
          <w:rFonts w:ascii="Times New Roman" w:hAnsi="Times New Roman" w:cs="Times New Roman"/>
        </w:rPr>
      </w:pPr>
      <w:r w:rsidRPr="006E6590">
        <w:rPr>
          <w:rFonts w:ascii="Times New Roman" w:hAnsi="Times New Roman" w:cs="Times New Roman"/>
        </w:rPr>
        <w:t>Even though Nigerian deposit money institutions have made large investments in electronic banking infrastructure, little is known about how these expenditures result in quantifiable financial inclusion benefits. Limited empirical data on the precise impacts of ATM and POS channels on important inclusion metrics like account penetration, usage frequency, and geographic reach of banking services are available in the literature currently under publication. The efficiency of existing electronic banking techniques is also called into doubt because, despite advancements in the implementation of digital banking infrastructure, Nigeria continues to trail behind its financial inclusion ambitions.</w:t>
      </w:r>
      <w:r>
        <w:rPr>
          <w:rFonts w:ascii="Times New Roman" w:hAnsi="Times New Roman" w:cs="Times New Roman"/>
        </w:rPr>
        <w:t xml:space="preserve"> </w:t>
      </w:r>
      <w:r w:rsidR="009304BA" w:rsidRPr="009304BA">
        <w:rPr>
          <w:rFonts w:ascii="Times New Roman" w:hAnsi="Times New Roman" w:cs="Times New Roman"/>
        </w:rPr>
        <w:t xml:space="preserve">The problem is further compounded by the lack of comprehensive analysis that examines the differential impacts of various electronic banking channels on different dimensions of financial inclusion. This knowledge gap hinders the development of targeted policies and strategies that could optimize the contribution of electronic banking to </w:t>
      </w:r>
      <w:r w:rsidR="00165439">
        <w:rPr>
          <w:rFonts w:ascii="Times New Roman" w:hAnsi="Times New Roman" w:cs="Times New Roman"/>
        </w:rPr>
        <w:t>financial inclusion objectives.</w:t>
      </w:r>
    </w:p>
    <w:p w:rsidR="009304BA" w:rsidRPr="009304BA" w:rsidRDefault="009304BA" w:rsidP="009304BA">
      <w:pPr>
        <w:jc w:val="both"/>
        <w:rPr>
          <w:rFonts w:ascii="Times New Roman" w:hAnsi="Times New Roman" w:cs="Times New Roman"/>
        </w:rPr>
      </w:pPr>
      <w:r w:rsidRPr="009304BA">
        <w:rPr>
          <w:rFonts w:ascii="Times New Roman" w:hAnsi="Times New Roman" w:cs="Times New Roman"/>
        </w:rPr>
        <w:t>The primary aim of this research is to examine the effects of electronic banking on financial inclusion in Nigerian deposit money banks.</w:t>
      </w:r>
    </w:p>
    <w:p w:rsidR="009304BA" w:rsidRPr="009304BA" w:rsidRDefault="009304BA" w:rsidP="009304BA">
      <w:pPr>
        <w:jc w:val="both"/>
        <w:rPr>
          <w:rFonts w:ascii="Times New Roman" w:hAnsi="Times New Roman" w:cs="Times New Roman"/>
        </w:rPr>
      </w:pPr>
      <w:r w:rsidRPr="009304BA">
        <w:rPr>
          <w:rFonts w:ascii="Times New Roman" w:hAnsi="Times New Roman" w:cs="Times New Roman"/>
        </w:rPr>
        <w:t>The specific objectives of the study are to:</w:t>
      </w:r>
    </w:p>
    <w:p w:rsidR="00165439" w:rsidRPr="00165439" w:rsidRDefault="00165439" w:rsidP="00165439">
      <w:pPr>
        <w:pStyle w:val="ListParagraph"/>
        <w:numPr>
          <w:ilvl w:val="0"/>
          <w:numId w:val="12"/>
        </w:numPr>
        <w:jc w:val="both"/>
        <w:rPr>
          <w:rFonts w:ascii="Times New Roman" w:hAnsi="Times New Roman" w:cs="Times New Roman"/>
        </w:rPr>
      </w:pPr>
      <w:r w:rsidRPr="00165439">
        <w:rPr>
          <w:rFonts w:ascii="Times New Roman" w:hAnsi="Times New Roman" w:cs="Times New Roman"/>
        </w:rPr>
        <w:t>Investigate the effect of ATM usage on account penetration among Nigerian bank customers.</w:t>
      </w:r>
    </w:p>
    <w:p w:rsidR="00165439" w:rsidRPr="00165439" w:rsidRDefault="00165439" w:rsidP="00165439">
      <w:pPr>
        <w:pStyle w:val="ListParagraph"/>
        <w:numPr>
          <w:ilvl w:val="0"/>
          <w:numId w:val="12"/>
        </w:numPr>
        <w:jc w:val="both"/>
        <w:rPr>
          <w:rFonts w:ascii="Times New Roman" w:hAnsi="Times New Roman" w:cs="Times New Roman"/>
        </w:rPr>
      </w:pPr>
      <w:r w:rsidRPr="00165439">
        <w:rPr>
          <w:rFonts w:ascii="Times New Roman" w:hAnsi="Times New Roman" w:cs="Times New Roman"/>
        </w:rPr>
        <w:t>Assess how POS transactions influence access to banking services across different regions.</w:t>
      </w:r>
    </w:p>
    <w:p w:rsidR="00165439" w:rsidRPr="00165439" w:rsidRDefault="00165439" w:rsidP="00165439">
      <w:pPr>
        <w:pStyle w:val="ListParagraph"/>
        <w:numPr>
          <w:ilvl w:val="0"/>
          <w:numId w:val="12"/>
        </w:numPr>
        <w:jc w:val="both"/>
        <w:rPr>
          <w:rFonts w:ascii="Times New Roman" w:hAnsi="Times New Roman" w:cs="Times New Roman"/>
        </w:rPr>
      </w:pPr>
      <w:r w:rsidRPr="00165439">
        <w:rPr>
          <w:rFonts w:ascii="Times New Roman" w:hAnsi="Times New Roman" w:cs="Times New Roman"/>
        </w:rPr>
        <w:t>Examine the role of electronic banking in promoting financial inclusion among underserved groups, such as women and rural dwellers.</w:t>
      </w:r>
    </w:p>
    <w:p w:rsidR="00165439" w:rsidRPr="00165439" w:rsidRDefault="00165439" w:rsidP="00165439">
      <w:pPr>
        <w:jc w:val="both"/>
        <w:rPr>
          <w:rFonts w:ascii="Times New Roman" w:hAnsi="Times New Roman" w:cs="Times New Roman"/>
        </w:rPr>
      </w:pPr>
      <w:r w:rsidRPr="00165439">
        <w:rPr>
          <w:rFonts w:ascii="Times New Roman" w:hAnsi="Times New Roman" w:cs="Times New Roman"/>
        </w:rPr>
        <w:t>In relation to the objectives above, the following research question where formulated</w:t>
      </w:r>
    </w:p>
    <w:p w:rsidR="00165439" w:rsidRPr="00165439" w:rsidRDefault="00165439" w:rsidP="00165439">
      <w:pPr>
        <w:pStyle w:val="ListParagraph"/>
        <w:numPr>
          <w:ilvl w:val="0"/>
          <w:numId w:val="13"/>
        </w:numPr>
        <w:jc w:val="both"/>
        <w:rPr>
          <w:rFonts w:ascii="Times New Roman" w:hAnsi="Times New Roman" w:cs="Times New Roman"/>
        </w:rPr>
      </w:pPr>
      <w:r w:rsidRPr="00165439">
        <w:rPr>
          <w:rFonts w:ascii="Times New Roman" w:hAnsi="Times New Roman" w:cs="Times New Roman"/>
        </w:rPr>
        <w:lastRenderedPageBreak/>
        <w:t xml:space="preserve">What is the effect of ATM usage on account </w:t>
      </w:r>
      <w:proofErr w:type="gramStart"/>
      <w:r w:rsidRPr="00165439">
        <w:rPr>
          <w:rFonts w:ascii="Times New Roman" w:hAnsi="Times New Roman" w:cs="Times New Roman"/>
        </w:rPr>
        <w:t>penetration in Nigerian deposit</w:t>
      </w:r>
      <w:proofErr w:type="gramEnd"/>
      <w:r w:rsidRPr="00165439">
        <w:rPr>
          <w:rFonts w:ascii="Times New Roman" w:hAnsi="Times New Roman" w:cs="Times New Roman"/>
        </w:rPr>
        <w:t xml:space="preserve"> money banks?</w:t>
      </w:r>
    </w:p>
    <w:p w:rsidR="00165439" w:rsidRPr="00165439" w:rsidRDefault="00165439" w:rsidP="00165439">
      <w:pPr>
        <w:pStyle w:val="ListParagraph"/>
        <w:numPr>
          <w:ilvl w:val="0"/>
          <w:numId w:val="13"/>
        </w:numPr>
        <w:jc w:val="both"/>
        <w:rPr>
          <w:rFonts w:ascii="Times New Roman" w:hAnsi="Times New Roman" w:cs="Times New Roman"/>
        </w:rPr>
      </w:pPr>
      <w:r w:rsidRPr="00165439">
        <w:rPr>
          <w:rFonts w:ascii="Times New Roman" w:hAnsi="Times New Roman" w:cs="Times New Roman"/>
        </w:rPr>
        <w:t>How do POS transactions influence access to banking services in different regions of Nigeria?</w:t>
      </w:r>
    </w:p>
    <w:p w:rsidR="00165439" w:rsidRPr="00165439" w:rsidRDefault="00165439" w:rsidP="00165439">
      <w:pPr>
        <w:pStyle w:val="ListParagraph"/>
        <w:numPr>
          <w:ilvl w:val="0"/>
          <w:numId w:val="13"/>
        </w:numPr>
        <w:jc w:val="both"/>
        <w:rPr>
          <w:rFonts w:ascii="Times New Roman" w:hAnsi="Times New Roman" w:cs="Times New Roman"/>
        </w:rPr>
      </w:pPr>
      <w:r w:rsidRPr="00165439">
        <w:rPr>
          <w:rFonts w:ascii="Times New Roman" w:hAnsi="Times New Roman" w:cs="Times New Roman"/>
        </w:rPr>
        <w:t>In what ways does electronic banking contribute to financial inclusion among underserved populations?</w:t>
      </w:r>
    </w:p>
    <w:p w:rsidR="00165439" w:rsidRPr="00165439" w:rsidRDefault="00165439" w:rsidP="00165439">
      <w:pPr>
        <w:jc w:val="both"/>
        <w:rPr>
          <w:rFonts w:ascii="Times New Roman" w:hAnsi="Times New Roman" w:cs="Times New Roman"/>
        </w:rPr>
      </w:pPr>
      <w:r w:rsidRPr="00165439">
        <w:rPr>
          <w:rFonts w:ascii="Times New Roman" w:hAnsi="Times New Roman" w:cs="Times New Roman"/>
        </w:rPr>
        <w:t>In line with the research objectives, the following null hypothesis are formulated and tested.</w:t>
      </w:r>
    </w:p>
    <w:p w:rsidR="00165439" w:rsidRPr="00165439" w:rsidRDefault="00165439" w:rsidP="00165439">
      <w:pPr>
        <w:jc w:val="both"/>
        <w:rPr>
          <w:rFonts w:ascii="Times New Roman" w:hAnsi="Times New Roman" w:cs="Times New Roman"/>
        </w:rPr>
      </w:pPr>
      <w:r w:rsidRPr="00165439">
        <w:rPr>
          <w:rFonts w:ascii="Times New Roman" w:hAnsi="Times New Roman" w:cs="Times New Roman"/>
          <w:b/>
        </w:rPr>
        <w:t>H₀₁:</w:t>
      </w:r>
      <w:r w:rsidRPr="00165439">
        <w:rPr>
          <w:rFonts w:ascii="Times New Roman" w:hAnsi="Times New Roman" w:cs="Times New Roman"/>
        </w:rPr>
        <w:t xml:space="preserve"> ATM usage has no significant effect on account penetration in Nigerian deposit money </w:t>
      </w:r>
      <w:proofErr w:type="gramStart"/>
      <w:r w:rsidRPr="00165439">
        <w:rPr>
          <w:rFonts w:ascii="Times New Roman" w:hAnsi="Times New Roman" w:cs="Times New Roman"/>
        </w:rPr>
        <w:t>banks</w:t>
      </w:r>
      <w:proofErr w:type="gramEnd"/>
      <w:r w:rsidRPr="00165439">
        <w:rPr>
          <w:rFonts w:ascii="Times New Roman" w:hAnsi="Times New Roman" w:cs="Times New Roman"/>
        </w:rPr>
        <w:t>.</w:t>
      </w:r>
    </w:p>
    <w:p w:rsidR="00165439" w:rsidRPr="00165439" w:rsidRDefault="00165439" w:rsidP="00165439">
      <w:pPr>
        <w:jc w:val="both"/>
        <w:rPr>
          <w:rFonts w:ascii="Times New Roman" w:hAnsi="Times New Roman" w:cs="Times New Roman"/>
        </w:rPr>
      </w:pPr>
      <w:r w:rsidRPr="00165439">
        <w:rPr>
          <w:rFonts w:ascii="Times New Roman" w:hAnsi="Times New Roman" w:cs="Times New Roman"/>
          <w:b/>
        </w:rPr>
        <w:t>H₀₂:</w:t>
      </w:r>
      <w:r w:rsidRPr="00165439">
        <w:rPr>
          <w:rFonts w:ascii="Times New Roman" w:hAnsi="Times New Roman" w:cs="Times New Roman"/>
        </w:rPr>
        <w:t xml:space="preserve"> POS transactions do not significantly influence access to banking services in Nigeria.</w:t>
      </w:r>
    </w:p>
    <w:p w:rsidR="00165439" w:rsidRPr="00165439" w:rsidRDefault="00165439" w:rsidP="00165439">
      <w:pPr>
        <w:jc w:val="both"/>
        <w:rPr>
          <w:rFonts w:ascii="Times New Roman" w:hAnsi="Times New Roman" w:cs="Times New Roman"/>
        </w:rPr>
      </w:pPr>
      <w:r w:rsidRPr="00165439">
        <w:rPr>
          <w:rFonts w:ascii="Times New Roman" w:hAnsi="Times New Roman" w:cs="Times New Roman"/>
          <w:b/>
        </w:rPr>
        <w:t>H₀₃:</w:t>
      </w:r>
      <w:r w:rsidRPr="00165439">
        <w:rPr>
          <w:rFonts w:ascii="Times New Roman" w:hAnsi="Times New Roman" w:cs="Times New Roman"/>
        </w:rPr>
        <w:t xml:space="preserve"> Electronic banking does not significantly enhance financial inclusion among underserved populations.</w:t>
      </w:r>
    </w:p>
    <w:p w:rsidR="006E6590" w:rsidRPr="006E6590" w:rsidRDefault="006E6590" w:rsidP="006E6590">
      <w:pPr>
        <w:jc w:val="both"/>
        <w:rPr>
          <w:rFonts w:ascii="Times New Roman" w:hAnsi="Times New Roman" w:cs="Times New Roman"/>
        </w:rPr>
      </w:pPr>
      <w:r w:rsidRPr="006E6590">
        <w:rPr>
          <w:rFonts w:ascii="Times New Roman" w:hAnsi="Times New Roman" w:cs="Times New Roman"/>
        </w:rPr>
        <w:t xml:space="preserve">This study is significant because it has the ability to offer empirical proof of the connection between the implementation of electronic banking and the results of financial inclusion in Nigeria's deposit money banks. The evaluation of the efficiency of electronic banking channels in accomplishing the nation's financial inclusion goals is becoming increasingly important. </w:t>
      </w:r>
      <w:r>
        <w:rPr>
          <w:rFonts w:ascii="Times New Roman" w:hAnsi="Times New Roman" w:cs="Times New Roman"/>
        </w:rPr>
        <w:t xml:space="preserve"> </w:t>
      </w:r>
      <w:r w:rsidRPr="006E6590">
        <w:rPr>
          <w:rFonts w:ascii="Times New Roman" w:hAnsi="Times New Roman" w:cs="Times New Roman"/>
        </w:rPr>
        <w:t>The research adds to the body of knowledge by offering empirical understanding of the precise processes by which electronic banking channels affect measures of financial inclusion. This paper provides a thorough analysis of how ATM and point-of-sale (POS) usage impacts several aspects of financial inclusion in the Nigerian setting, thereby addressing a significant gap in the literature.</w:t>
      </w:r>
    </w:p>
    <w:p w:rsidR="006E6590" w:rsidRPr="006E6590" w:rsidRDefault="006E6590" w:rsidP="006E6590">
      <w:pPr>
        <w:jc w:val="both"/>
        <w:rPr>
          <w:rFonts w:ascii="Times New Roman" w:hAnsi="Times New Roman" w:cs="Times New Roman"/>
        </w:rPr>
      </w:pPr>
      <w:r w:rsidRPr="006E6590">
        <w:rPr>
          <w:rFonts w:ascii="Times New Roman" w:hAnsi="Times New Roman" w:cs="Times New Roman"/>
        </w:rPr>
        <w:t>The report offers useful evidence-based insights to policymakers that can guide the creation of more successful financial inclusion initiatives. The results will assist regulatory bodies, especially the Central Bank of Nigeria, in refining regulations controlling the implementation and functioning of electronic banking in order to optimize its contribution to the goals of financial inclusion.</w:t>
      </w:r>
      <w:r>
        <w:rPr>
          <w:rFonts w:ascii="Times New Roman" w:hAnsi="Times New Roman" w:cs="Times New Roman"/>
        </w:rPr>
        <w:t xml:space="preserve"> </w:t>
      </w:r>
      <w:r w:rsidRPr="006E6590">
        <w:rPr>
          <w:rFonts w:ascii="Times New Roman" w:hAnsi="Times New Roman" w:cs="Times New Roman"/>
        </w:rPr>
        <w:t>The study's findings about the efficacy of various electronic banking channels would help bank managers and executives of financial institutions make better judgments about channel optimization tactics and infrastructure investments. Additionally, the study will offer recommendations on how to better reach underprivileged groups by utilizing electronic banking technologies.</w:t>
      </w:r>
    </w:p>
    <w:p w:rsidR="006E6590" w:rsidRPr="006E6590" w:rsidRDefault="006E6590" w:rsidP="006E6590">
      <w:pPr>
        <w:jc w:val="both"/>
        <w:rPr>
          <w:rFonts w:ascii="Times New Roman" w:hAnsi="Times New Roman" w:cs="Times New Roman"/>
        </w:rPr>
      </w:pPr>
      <w:r w:rsidRPr="006E6590">
        <w:rPr>
          <w:rFonts w:ascii="Times New Roman" w:hAnsi="Times New Roman" w:cs="Times New Roman"/>
        </w:rPr>
        <w:t xml:space="preserve">For the purpose of creating and carrying out more focused interventions, development professionals and foreign organizations engaged in financial inclusion projects in Nigeria and comparable settings will find the study's conclusions helpful. The study advances our knowledge of the ways in which financial exclusion in developing nations can be addressed by utilizing technology. Deposit money banks, the main formal financial institutions in Nigeria's banking system, are the specific subject of the study. These banks have led the way in the adoption of electronic banking and are the primary means of accomplishing the country's financial inclusion </w:t>
      </w:r>
      <w:r w:rsidRPr="006E6590">
        <w:rPr>
          <w:rFonts w:ascii="Times New Roman" w:hAnsi="Times New Roman" w:cs="Times New Roman"/>
        </w:rPr>
        <w:lastRenderedPageBreak/>
        <w:t>objectives. For stakeholders throughout the financial services ecosystem, the research offers insightful information by analyzing how electronic banking affects financial inclusion in this particular setting.</w:t>
      </w:r>
    </w:p>
    <w:p w:rsidR="00023A21" w:rsidRDefault="00023A21" w:rsidP="009304BA">
      <w:pPr>
        <w:jc w:val="both"/>
        <w:rPr>
          <w:rFonts w:ascii="Times New Roman" w:hAnsi="Times New Roman" w:cs="Times New Roman"/>
        </w:rPr>
      </w:pPr>
    </w:p>
    <w:p w:rsidR="009304BA" w:rsidRPr="009304BA" w:rsidRDefault="009304BA" w:rsidP="00165439">
      <w:pPr>
        <w:rPr>
          <w:rFonts w:ascii="Times New Roman" w:hAnsi="Times New Roman" w:cs="Times New Roman"/>
          <w:b/>
          <w:bCs/>
        </w:rPr>
      </w:pPr>
      <w:r w:rsidRPr="009304BA">
        <w:rPr>
          <w:rFonts w:ascii="Times New Roman" w:hAnsi="Times New Roman" w:cs="Times New Roman"/>
          <w:b/>
          <w:bCs/>
        </w:rPr>
        <w:t>LITERATURE REVIEW</w:t>
      </w:r>
    </w:p>
    <w:p w:rsidR="00705727" w:rsidRPr="003A2EC8" w:rsidRDefault="00705727" w:rsidP="00705727">
      <w:pPr>
        <w:jc w:val="both"/>
        <w:rPr>
          <w:rFonts w:ascii="Times New Roman" w:hAnsi="Times New Roman" w:cs="Times New Roman"/>
          <w:b/>
          <w:bCs/>
        </w:rPr>
      </w:pPr>
      <w:r w:rsidRPr="003A2EC8">
        <w:rPr>
          <w:rFonts w:ascii="Times New Roman" w:hAnsi="Times New Roman" w:cs="Times New Roman"/>
          <w:b/>
          <w:bCs/>
        </w:rPr>
        <w:t>Conceptual Review</w:t>
      </w:r>
    </w:p>
    <w:p w:rsidR="00705727" w:rsidRPr="003A2EC8" w:rsidRDefault="00705727" w:rsidP="00705727">
      <w:pPr>
        <w:jc w:val="both"/>
        <w:rPr>
          <w:rFonts w:ascii="Times New Roman" w:hAnsi="Times New Roman" w:cs="Times New Roman"/>
          <w:b/>
          <w:bCs/>
        </w:rPr>
      </w:pPr>
      <w:r w:rsidRPr="003A2EC8">
        <w:rPr>
          <w:rFonts w:ascii="Times New Roman" w:hAnsi="Times New Roman" w:cs="Times New Roman"/>
          <w:b/>
          <w:bCs/>
        </w:rPr>
        <w:t>Electronic Banking and Its Dimensions</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Electronic banking represents a paradigm shift in the delivery of financial services, enabling customers to access banking services without physically visiting branches through various technology channels. From straightforward automated transactions to extensive digital financial ecosystems, the concept has evolved significantly over time. In Nigeria, Automated Teller Machines (ATMs) and Point of Sale (POS) terminals are the primary implementation channels of electronic banking, having grown to become essential infrastructure for financial service provision.</w:t>
      </w:r>
    </w:p>
    <w:p w:rsidR="00705727" w:rsidRPr="00A03BD8" w:rsidRDefault="00A03BD8" w:rsidP="00705727">
      <w:pPr>
        <w:jc w:val="both"/>
        <w:rPr>
          <w:rFonts w:ascii="Times New Roman" w:hAnsi="Times New Roman" w:cs="Times New Roman"/>
          <w:b/>
          <w:bCs/>
        </w:rPr>
      </w:pPr>
      <w:r>
        <w:rPr>
          <w:rFonts w:ascii="Times New Roman" w:hAnsi="Times New Roman" w:cs="Times New Roman"/>
          <w:b/>
          <w:bCs/>
        </w:rPr>
        <w:t>ATM Usage and Its Effects</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ATMs are automated banking terminals that provide standard banking operations such as fund transfers, deposits, cash withdrawals, and balance inquiries without human assistance. These self-service banking locations extend beyond standard branch networks in terms of banking hours and geographic scope. The proliferation of ATMs has transformed banking accessibility by providing 24/7 service availability and extending financial services to remote locations where traditional bank branch</w:t>
      </w:r>
      <w:r w:rsidR="005258C3">
        <w:rPr>
          <w:rFonts w:ascii="Times New Roman" w:hAnsi="Times New Roman" w:cs="Times New Roman"/>
          <w:bCs/>
        </w:rPr>
        <w:t>es are not economically viable.</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The measurement of ATM usage in financial inclusion studies typically focuses on several key metrics: ATM density (number of ATMs per geographical area or population), transaction volume (total number of ATM transactions), transaction value (monetary value of ATM transactions), and ATM accessibility indicators (distribution across urban and rural areas). These metrics collectively provide insights into how ATM infrastructure contributes to broadening financial access and</w:t>
      </w:r>
      <w:r w:rsidR="005258C3">
        <w:rPr>
          <w:rFonts w:ascii="Times New Roman" w:hAnsi="Times New Roman" w:cs="Times New Roman"/>
          <w:bCs/>
        </w:rPr>
        <w:t xml:space="preserve"> promoting account penetration.</w:t>
      </w:r>
    </w:p>
    <w:p w:rsidR="005258C3" w:rsidRDefault="005258C3" w:rsidP="00705727">
      <w:pPr>
        <w:jc w:val="both"/>
        <w:rPr>
          <w:rFonts w:ascii="Times New Roman" w:hAnsi="Times New Roman" w:cs="Times New Roman"/>
          <w:b/>
          <w:bCs/>
        </w:rPr>
      </w:pPr>
      <w:r>
        <w:rPr>
          <w:rFonts w:ascii="Times New Roman" w:hAnsi="Times New Roman" w:cs="Times New Roman"/>
          <w:b/>
          <w:bCs/>
        </w:rPr>
        <w:t>POS Usage and Its Effects</w:t>
      </w:r>
    </w:p>
    <w:p w:rsidR="00705727" w:rsidRPr="005258C3" w:rsidRDefault="00705727" w:rsidP="00705727">
      <w:pPr>
        <w:jc w:val="both"/>
        <w:rPr>
          <w:rFonts w:ascii="Times New Roman" w:hAnsi="Times New Roman" w:cs="Times New Roman"/>
          <w:b/>
          <w:bCs/>
        </w:rPr>
      </w:pPr>
      <w:r w:rsidRPr="00705727">
        <w:rPr>
          <w:rFonts w:ascii="Times New Roman" w:hAnsi="Times New Roman" w:cs="Times New Roman"/>
          <w:bCs/>
        </w:rPr>
        <w:t>In Nigeria, point-of-sale terminals have evolved beyond basic payment processing equipment to become comprehensive financial service delivery hubs. Through approved networks, these electronic devices enable consumers to make payments, withdraw cash, and access other banking services by processing card-based transactions at merchant locations and agent points. The proliferation of POS terminals has particularly enhanced financial inclusion by bringing banking services to previously underserved areas and facilitating account usage among the unbanked population.</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lastRenderedPageBreak/>
        <w:t>The measurement of POS usage involves tracking POS terminal density (number of terminals per population or area), transaction frequency (number of transactions processed), transaction values, geographic distribution patterns, and agent network coverage. POS terminals serve as critical intermediaries that encourage account opening and usage by providing convenient access points for financial transactions, thereby directly impac</w:t>
      </w:r>
      <w:r w:rsidR="007658C0">
        <w:rPr>
          <w:rFonts w:ascii="Times New Roman" w:hAnsi="Times New Roman" w:cs="Times New Roman"/>
          <w:bCs/>
        </w:rPr>
        <w:t>ting account penetration rates.</w:t>
      </w:r>
    </w:p>
    <w:p w:rsidR="00705727" w:rsidRPr="007658C0" w:rsidRDefault="00705727" w:rsidP="00705727">
      <w:pPr>
        <w:jc w:val="both"/>
        <w:rPr>
          <w:rFonts w:ascii="Times New Roman" w:hAnsi="Times New Roman" w:cs="Times New Roman"/>
          <w:b/>
          <w:bCs/>
        </w:rPr>
      </w:pPr>
      <w:r w:rsidRPr="007658C0">
        <w:rPr>
          <w:rFonts w:ascii="Times New Roman" w:hAnsi="Times New Roman" w:cs="Times New Roman"/>
          <w:b/>
          <w:bCs/>
        </w:rPr>
        <w:t>Account Penetration as a Financial Inclusion Measure</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Account penetration represents the proportion of the population that has access to formal bank accounts and serves as the fundamental measure of financial inclusion. Unlike composite measures that may obscure specific impacts, account penetration provides a clear, quantifiable indicator of how effectively electronic banking channels bring previously excluded populations in</w:t>
      </w:r>
      <w:r w:rsidR="006B0E29">
        <w:rPr>
          <w:rFonts w:ascii="Times New Roman" w:hAnsi="Times New Roman" w:cs="Times New Roman"/>
          <w:bCs/>
        </w:rPr>
        <w:t>to the formal financial system.</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Account penetration serves as the foundation for all other financial services, as individuals must first have bank accounts before they can access other financial products such as credit, insurance, or investment services. The effect of account penetration on overall economic development is profound, as it represents the entry point into the formal financial system for previously excluded populations. Electronic banking channels, particularly ATMs and POS terminals, directly influence account penetration by reducing barriers to account access and usage.</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The measurement of account penetration typically involves calculating the percentage of the adult population that owns or has access to a bank account with a formal financial institution. This metric can be disaggregated by demographics (gender, age, income level), geographic location (urban versus rural), and institutional type (commercial banks, microfinance institutions) to provide nuanced insights int</w:t>
      </w:r>
      <w:r w:rsidR="006B0E29">
        <w:rPr>
          <w:rFonts w:ascii="Times New Roman" w:hAnsi="Times New Roman" w:cs="Times New Roman"/>
          <w:bCs/>
        </w:rPr>
        <w:t>o financial inclusion progress.</w:t>
      </w:r>
    </w:p>
    <w:p w:rsidR="00705727" w:rsidRPr="006B0E29" w:rsidRDefault="00705727" w:rsidP="00705727">
      <w:pPr>
        <w:jc w:val="both"/>
        <w:rPr>
          <w:rFonts w:ascii="Times New Roman" w:hAnsi="Times New Roman" w:cs="Times New Roman"/>
          <w:b/>
          <w:bCs/>
        </w:rPr>
      </w:pPr>
      <w:r w:rsidRPr="006B0E29">
        <w:rPr>
          <w:rFonts w:ascii="Times New Roman" w:hAnsi="Times New Roman" w:cs="Times New Roman"/>
          <w:b/>
          <w:bCs/>
        </w:rPr>
        <w:t>Agent Banking and Digital Financial Services</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Agent banking constitutes a critical component of electronic banking infrastructure, utilizing authorized third-party agents with electronic devices to perform financial services. These agents effectively extend the geographic reach of financial organizations by offering basic banking services in areas where regular bank branches are not economically viable, thereby supporting account penetration in underserved areas.</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Digital financial services encompass all financial products and services delivered via digital channels, including electronic terminals, mobile phones, and internet platforms. The integration of agent banking with digital platforms creates a comprehensive ecosystem that supports account opening, maintenance, and usage, particularly in rural and remote areas where traditional ban</w:t>
      </w:r>
      <w:r w:rsidR="006B0E29">
        <w:rPr>
          <w:rFonts w:ascii="Times New Roman" w:hAnsi="Times New Roman" w:cs="Times New Roman"/>
          <w:bCs/>
        </w:rPr>
        <w:t>king infrastructure is limited.</w:t>
      </w:r>
    </w:p>
    <w:p w:rsidR="00705727" w:rsidRPr="006B0E29" w:rsidRDefault="00705727" w:rsidP="00705727">
      <w:pPr>
        <w:jc w:val="both"/>
        <w:rPr>
          <w:rFonts w:ascii="Times New Roman" w:hAnsi="Times New Roman" w:cs="Times New Roman"/>
          <w:b/>
          <w:bCs/>
        </w:rPr>
      </w:pPr>
      <w:r w:rsidRPr="006B0E29">
        <w:rPr>
          <w:rFonts w:ascii="Times New Roman" w:hAnsi="Times New Roman" w:cs="Times New Roman"/>
          <w:b/>
          <w:bCs/>
        </w:rPr>
        <w:t>Theoretical Review</w:t>
      </w:r>
    </w:p>
    <w:p w:rsidR="00705727" w:rsidRPr="006B0E29" w:rsidRDefault="00705727" w:rsidP="00705727">
      <w:pPr>
        <w:jc w:val="both"/>
        <w:rPr>
          <w:rFonts w:ascii="Times New Roman" w:hAnsi="Times New Roman" w:cs="Times New Roman"/>
          <w:b/>
          <w:bCs/>
        </w:rPr>
      </w:pPr>
      <w:r w:rsidRPr="006B0E29">
        <w:rPr>
          <w:rFonts w:ascii="Times New Roman" w:hAnsi="Times New Roman" w:cs="Times New Roman"/>
          <w:b/>
          <w:bCs/>
        </w:rPr>
        <w:t>Te</w:t>
      </w:r>
      <w:r w:rsidR="006B0E29" w:rsidRPr="006B0E29">
        <w:rPr>
          <w:rFonts w:ascii="Times New Roman" w:hAnsi="Times New Roman" w:cs="Times New Roman"/>
          <w:b/>
          <w:bCs/>
        </w:rPr>
        <w:t>chnology Acceptance Model (TAM)</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lastRenderedPageBreak/>
        <w:t>The Technology Acceptance Model, developed by Davis (1989), provides a foundational framework for understanding how users embrace electronic banking technology. TAM posits that user acceptance of technology is primarily determined by perceived usefulness and perceived ease of use. In the context of electronic banking and account penetration, TAM explains how individuals' perceptions of ATM and POS terminal utility and usability influence their willingness to o</w:t>
      </w:r>
      <w:r w:rsidR="006B0E29">
        <w:rPr>
          <w:rFonts w:ascii="Times New Roman" w:hAnsi="Times New Roman" w:cs="Times New Roman"/>
          <w:bCs/>
        </w:rPr>
        <w:t>pen and maintain bank accounts.</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The model's relevance to this study lies in its explanation of the psychological and behavioral factors that drive electronic banking adoption. When potential bank customers perceive ATMs and POS terminals as useful and easy to use, they are more likely to engage with formal banking services, leading to increased account penetration rates. The model also suggests that external factors such as system quality, service quality, and user training can influence perceived usefulness and ease of use, ultimately affecting account penetration outcomes.</w:t>
      </w:r>
    </w:p>
    <w:p w:rsidR="00705727" w:rsidRPr="006B0E29" w:rsidRDefault="006B0E29" w:rsidP="00705727">
      <w:pPr>
        <w:jc w:val="both"/>
        <w:rPr>
          <w:rFonts w:ascii="Times New Roman" w:hAnsi="Times New Roman" w:cs="Times New Roman"/>
          <w:b/>
          <w:bCs/>
        </w:rPr>
      </w:pPr>
      <w:r w:rsidRPr="006B0E29">
        <w:rPr>
          <w:rFonts w:ascii="Times New Roman" w:hAnsi="Times New Roman" w:cs="Times New Roman"/>
          <w:b/>
          <w:bCs/>
        </w:rPr>
        <w:t>Financial Intermediation Theory</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Financial Intermediation Theory explains how financial institutions facilitate the flow of funds between savers and borrowers while reducing transaction costs and information asymmetries. In the context of electronic banking, this theory demonstrates how ATMs and POS terminals improve the effectiveness of financial service delivery by reducing transaction costs and broadening institutional reach.</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Electronic banking channels serve as efficient intermediation mechanisms that lower the cost of financial service provision while expanding access to previously excluded populations. By reducing the need for physical branch infrastructure and human intermediaries, ATMs and POS terminals enable banks to serve customers at lower costs, making account maintenance more affordable for low-income populations and thereby improv</w:t>
      </w:r>
      <w:r w:rsidR="006B0E29">
        <w:rPr>
          <w:rFonts w:ascii="Times New Roman" w:hAnsi="Times New Roman" w:cs="Times New Roman"/>
          <w:bCs/>
        </w:rPr>
        <w:t>ing account penetration rates.</w:t>
      </w:r>
    </w:p>
    <w:p w:rsidR="00705727" w:rsidRPr="006B0E29" w:rsidRDefault="00705727" w:rsidP="00705727">
      <w:pPr>
        <w:jc w:val="both"/>
        <w:rPr>
          <w:rFonts w:ascii="Times New Roman" w:hAnsi="Times New Roman" w:cs="Times New Roman"/>
          <w:b/>
          <w:bCs/>
        </w:rPr>
      </w:pPr>
      <w:r w:rsidRPr="006B0E29">
        <w:rPr>
          <w:rFonts w:ascii="Times New Roman" w:hAnsi="Times New Roman" w:cs="Times New Roman"/>
          <w:b/>
          <w:bCs/>
        </w:rPr>
        <w:t>Diffusion of Innovation Theory</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Rogers' (2003) Diffusion of Innovation Theory provides a framework for understanding how electronic banking innovations proliferate in society and contribute to financial inclusion. The theory identifies five categories of adopters: innovators, early adopters, early majority, late majority, and laggards. Each category represents different levels of willingness to adopt new technologies based on individual characteristics and social influences.</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In the context of account penetration through electronic banking, this theory explains how ATM and POS adoption follows predictable patterns, with early adopters driving wider public acceptance. The theory suggests that successful diffusion of electronic banking innovations requires understanding the characteristics and needs of different adopter categories, enabling banks to design targeted strategies that promote account penetration across diverse population segments.</w:t>
      </w:r>
    </w:p>
    <w:p w:rsidR="00705727" w:rsidRPr="004D7922" w:rsidRDefault="004D7922" w:rsidP="00705727">
      <w:pPr>
        <w:jc w:val="both"/>
        <w:rPr>
          <w:rFonts w:ascii="Times New Roman" w:hAnsi="Times New Roman" w:cs="Times New Roman"/>
          <w:b/>
          <w:bCs/>
        </w:rPr>
      </w:pPr>
      <w:r w:rsidRPr="004D7922">
        <w:rPr>
          <w:rFonts w:ascii="Times New Roman" w:hAnsi="Times New Roman" w:cs="Times New Roman"/>
          <w:b/>
          <w:bCs/>
        </w:rPr>
        <w:t>Empirical Review</w:t>
      </w:r>
    </w:p>
    <w:p w:rsidR="00705727" w:rsidRPr="004D7922" w:rsidRDefault="00705727" w:rsidP="00705727">
      <w:pPr>
        <w:jc w:val="both"/>
        <w:rPr>
          <w:rFonts w:ascii="Times New Roman" w:hAnsi="Times New Roman" w:cs="Times New Roman"/>
          <w:b/>
          <w:bCs/>
        </w:rPr>
      </w:pPr>
      <w:r w:rsidRPr="004D7922">
        <w:rPr>
          <w:rFonts w:ascii="Times New Roman" w:hAnsi="Times New Roman" w:cs="Times New Roman"/>
          <w:b/>
          <w:bCs/>
        </w:rPr>
        <w:lastRenderedPageBreak/>
        <w:t>Global Perspectives on Electronic Banking and Financial Inclusion</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 xml:space="preserve">International research has established strong connections between electronic banking implementation and account penetration outcomes. </w:t>
      </w:r>
      <w:proofErr w:type="spellStart"/>
      <w:r w:rsidRPr="00705727">
        <w:rPr>
          <w:rFonts w:ascii="Times New Roman" w:hAnsi="Times New Roman" w:cs="Times New Roman"/>
          <w:bCs/>
        </w:rPr>
        <w:t>Demirgüç-Kunt</w:t>
      </w:r>
      <w:proofErr w:type="spellEnd"/>
      <w:r w:rsidRPr="00705727">
        <w:rPr>
          <w:rFonts w:ascii="Times New Roman" w:hAnsi="Times New Roman" w:cs="Times New Roman"/>
          <w:bCs/>
        </w:rPr>
        <w:t xml:space="preserve"> et al. (2018) demonstrated that nations with higher adoption rates of electronic payment systems typically achieve better account penetration results. Their comprehensive analysis of global financial inclusion data revealed that electronic banking infrastructure development correlates positively with formal account ownership rates across different economic development levels.</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Subsequent research investigating the effects of digital financial technologies on account penetration indicators across various contexts has supported this foundational study. The World Economic Forum (2023) reports that Africa leads globally in digital and mobile banking adoption, underscoring the continent's innovative approaches to leveraging technology for a</w:t>
      </w:r>
      <w:r w:rsidR="004D7922">
        <w:rPr>
          <w:rFonts w:ascii="Times New Roman" w:hAnsi="Times New Roman" w:cs="Times New Roman"/>
          <w:bCs/>
        </w:rPr>
        <w:t>ccount penetration improvement.</w:t>
      </w:r>
    </w:p>
    <w:p w:rsidR="00705727" w:rsidRPr="004D7922" w:rsidRDefault="00705727" w:rsidP="00705727">
      <w:pPr>
        <w:jc w:val="both"/>
        <w:rPr>
          <w:rFonts w:ascii="Times New Roman" w:hAnsi="Times New Roman" w:cs="Times New Roman"/>
          <w:b/>
          <w:bCs/>
        </w:rPr>
      </w:pPr>
      <w:r w:rsidRPr="004D7922">
        <w:rPr>
          <w:rFonts w:ascii="Times New Roman" w:hAnsi="Times New Roman" w:cs="Times New Roman"/>
          <w:b/>
          <w:bCs/>
        </w:rPr>
        <w:t>African Context and Regional Studies</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 xml:space="preserve">African research on electronic banking's impact on account penetration has produced varied findings, with results depending on contextual factors such as regulatory frameworks, infrastructure quality, and customer behavior patterns. </w:t>
      </w:r>
      <w:proofErr w:type="spellStart"/>
      <w:r w:rsidRPr="00705727">
        <w:rPr>
          <w:rFonts w:ascii="Times New Roman" w:hAnsi="Times New Roman" w:cs="Times New Roman"/>
          <w:bCs/>
        </w:rPr>
        <w:t>Koomson</w:t>
      </w:r>
      <w:proofErr w:type="spellEnd"/>
      <w:r w:rsidRPr="00705727">
        <w:rPr>
          <w:rFonts w:ascii="Times New Roman" w:hAnsi="Times New Roman" w:cs="Times New Roman"/>
          <w:bCs/>
        </w:rPr>
        <w:t xml:space="preserve"> et al. (2024) examine the intersection of sustainable development and finance in Africa, emphasizing the importance of contextual adaptation and </w:t>
      </w:r>
      <w:proofErr w:type="spellStart"/>
      <w:r w:rsidRPr="00705727">
        <w:rPr>
          <w:rFonts w:ascii="Times New Roman" w:hAnsi="Times New Roman" w:cs="Times New Roman"/>
          <w:bCs/>
        </w:rPr>
        <w:t>fintech's</w:t>
      </w:r>
      <w:proofErr w:type="spellEnd"/>
      <w:r w:rsidRPr="00705727">
        <w:rPr>
          <w:rFonts w:ascii="Times New Roman" w:hAnsi="Times New Roman" w:cs="Times New Roman"/>
          <w:bCs/>
        </w:rPr>
        <w:t xml:space="preserve"> role in promoting account penetration among previously excluded populations.</w:t>
      </w:r>
    </w:p>
    <w:p w:rsidR="00705727" w:rsidRPr="00705727" w:rsidRDefault="00705727" w:rsidP="00705727">
      <w:pPr>
        <w:jc w:val="both"/>
        <w:rPr>
          <w:rFonts w:ascii="Times New Roman" w:hAnsi="Times New Roman" w:cs="Times New Roman"/>
          <w:bCs/>
        </w:rPr>
      </w:pPr>
      <w:proofErr w:type="spellStart"/>
      <w:r w:rsidRPr="00705727">
        <w:rPr>
          <w:rFonts w:ascii="Times New Roman" w:hAnsi="Times New Roman" w:cs="Times New Roman"/>
          <w:bCs/>
        </w:rPr>
        <w:t>Wondimu</w:t>
      </w:r>
      <w:proofErr w:type="spellEnd"/>
      <w:r w:rsidRPr="00705727">
        <w:rPr>
          <w:rFonts w:ascii="Times New Roman" w:hAnsi="Times New Roman" w:cs="Times New Roman"/>
          <w:bCs/>
        </w:rPr>
        <w:t xml:space="preserve"> et al.'s (2024) recent Ethiopian research provides highly relevant insights for the Nigerian context. Their study, employing random effects model methodologies applicable to similar analyses in Nigeria, demonstrated that ATM, mobile banking, POS, and agent banking have statistically significant positive effects on account penetration. The Ethiopian study's methodology and findings establish useful benchmarks for understanding electronic banking effects on account penetration in comparab</w:t>
      </w:r>
      <w:r w:rsidR="004D7922">
        <w:rPr>
          <w:rFonts w:ascii="Times New Roman" w:hAnsi="Times New Roman" w:cs="Times New Roman"/>
          <w:bCs/>
        </w:rPr>
        <w:t>le developing economy contexts.</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Research on Kenya's M-</w:t>
      </w:r>
      <w:proofErr w:type="spellStart"/>
      <w:r w:rsidRPr="00705727">
        <w:rPr>
          <w:rFonts w:ascii="Times New Roman" w:hAnsi="Times New Roman" w:cs="Times New Roman"/>
          <w:bCs/>
        </w:rPr>
        <w:t>Pesa</w:t>
      </w:r>
      <w:proofErr w:type="spellEnd"/>
      <w:r w:rsidRPr="00705727">
        <w:rPr>
          <w:rFonts w:ascii="Times New Roman" w:hAnsi="Times New Roman" w:cs="Times New Roman"/>
          <w:bCs/>
        </w:rPr>
        <w:t xml:space="preserve"> mobile money system has generated crucial insights into how electronic banking can transform account penetration rates. The Kenyan experience demonstrates that when appropriate technology deployment combines with supportive regulatory frameworks, account penetration can increase dramatically, particularly among previously excluded populations. The M-</w:t>
      </w:r>
      <w:proofErr w:type="spellStart"/>
      <w:r w:rsidRPr="00705727">
        <w:rPr>
          <w:rFonts w:ascii="Times New Roman" w:hAnsi="Times New Roman" w:cs="Times New Roman"/>
          <w:bCs/>
        </w:rPr>
        <w:t>Pesa</w:t>
      </w:r>
      <w:proofErr w:type="spellEnd"/>
      <w:r w:rsidRPr="00705727">
        <w:rPr>
          <w:rFonts w:ascii="Times New Roman" w:hAnsi="Times New Roman" w:cs="Times New Roman"/>
          <w:bCs/>
        </w:rPr>
        <w:t xml:space="preserve"> case study shows that electronic banking innovations can achieve account penetration rates exceeding 80% in relatively short timeframes when properly implemented.</w:t>
      </w:r>
    </w:p>
    <w:p w:rsidR="00705727" w:rsidRPr="000F0226" w:rsidRDefault="000F0226" w:rsidP="00705727">
      <w:pPr>
        <w:jc w:val="both"/>
        <w:rPr>
          <w:rFonts w:ascii="Times New Roman" w:hAnsi="Times New Roman" w:cs="Times New Roman"/>
          <w:b/>
          <w:bCs/>
        </w:rPr>
      </w:pPr>
      <w:r w:rsidRPr="000F0226">
        <w:rPr>
          <w:rFonts w:ascii="Times New Roman" w:hAnsi="Times New Roman" w:cs="Times New Roman"/>
          <w:b/>
          <w:bCs/>
        </w:rPr>
        <w:t>Nigerian Banking Sector Studies</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 xml:space="preserve">The Nigerian banking industry has been the focus of numerous studies examining electronic banking implementation and its account penetration effects. Recent research indicates that while Nigeria has made progress in improving account penetration, it remains far from achieving its </w:t>
      </w:r>
      <w:r w:rsidRPr="00705727">
        <w:rPr>
          <w:rFonts w:ascii="Times New Roman" w:hAnsi="Times New Roman" w:cs="Times New Roman"/>
          <w:bCs/>
        </w:rPr>
        <w:lastRenderedPageBreak/>
        <w:t>target of 95% population banking by 2024 (Bloomberg, 2023). This gap between objectives and actual account penetration rates highlights the need for more effective</w:t>
      </w:r>
      <w:r w:rsidR="000F0226">
        <w:rPr>
          <w:rFonts w:ascii="Times New Roman" w:hAnsi="Times New Roman" w:cs="Times New Roman"/>
          <w:bCs/>
        </w:rPr>
        <w:t xml:space="preserve"> electronic banking strategies.</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 xml:space="preserve">Research on Nigeria's account penetration journey reveals persistent challenges despite technological advances. The </w:t>
      </w:r>
      <w:proofErr w:type="spellStart"/>
      <w:r w:rsidRPr="00705727">
        <w:rPr>
          <w:rFonts w:ascii="Times New Roman" w:hAnsi="Times New Roman" w:cs="Times New Roman"/>
          <w:bCs/>
        </w:rPr>
        <w:t>EFInA</w:t>
      </w:r>
      <w:proofErr w:type="spellEnd"/>
      <w:r w:rsidRPr="00705727">
        <w:rPr>
          <w:rFonts w:ascii="Times New Roman" w:hAnsi="Times New Roman" w:cs="Times New Roman"/>
          <w:bCs/>
        </w:rPr>
        <w:t xml:space="preserve"> 2023 study shows that formal financial inclusion, primarily measured through account penetration, increased from 56% in 2020 to 64% in 2023, but this growth remains insufficient to meet national targets. Significantly, the study reveals that the gender gap in account penetration is widening, increasing from 8% in 2020 to 9% in 2023, </w:t>
      </w:r>
      <w:proofErr w:type="gramStart"/>
      <w:r w:rsidRPr="00705727">
        <w:rPr>
          <w:rFonts w:ascii="Times New Roman" w:hAnsi="Times New Roman" w:cs="Times New Roman"/>
          <w:bCs/>
        </w:rPr>
        <w:t>emphasizing</w:t>
      </w:r>
      <w:proofErr w:type="gramEnd"/>
      <w:r w:rsidRPr="00705727">
        <w:rPr>
          <w:rFonts w:ascii="Times New Roman" w:hAnsi="Times New Roman" w:cs="Times New Roman"/>
          <w:bCs/>
        </w:rPr>
        <w:t xml:space="preserve"> the need for targeted interventions that specifically pr</w:t>
      </w:r>
      <w:r w:rsidR="000F0226">
        <w:rPr>
          <w:rFonts w:ascii="Times New Roman" w:hAnsi="Times New Roman" w:cs="Times New Roman"/>
          <w:bCs/>
        </w:rPr>
        <w:t>omote female account ownership.</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The International Monetary Fund's 2023 policy report provides crucial context for understanding Nigeria's account penetration challenges. The IMF notes that while progress has been made in onboarding citizens to the banking system, overall exclusion rates remain above official targets, partly due to low financial literacy levels. This analysis suggests that electronic banking solutions alone may be insufficient without complementary initiatives addressing underlying barriers to account penetration.</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 xml:space="preserve">Recent studies by </w:t>
      </w:r>
      <w:proofErr w:type="spellStart"/>
      <w:r w:rsidRPr="00705727">
        <w:rPr>
          <w:rFonts w:ascii="Times New Roman" w:hAnsi="Times New Roman" w:cs="Times New Roman"/>
          <w:bCs/>
        </w:rPr>
        <w:t>Adegbite</w:t>
      </w:r>
      <w:proofErr w:type="spellEnd"/>
      <w:r w:rsidRPr="00705727">
        <w:rPr>
          <w:rFonts w:ascii="Times New Roman" w:hAnsi="Times New Roman" w:cs="Times New Roman"/>
          <w:bCs/>
        </w:rPr>
        <w:t xml:space="preserve"> et al. (2023) examined the relationship between ATM density and account penetration across Nigerian states, finding significant positive correlations but noting substantial regional variations. Similarly, </w:t>
      </w:r>
      <w:proofErr w:type="spellStart"/>
      <w:r w:rsidRPr="00705727">
        <w:rPr>
          <w:rFonts w:ascii="Times New Roman" w:hAnsi="Times New Roman" w:cs="Times New Roman"/>
          <w:bCs/>
        </w:rPr>
        <w:t>Okafor</w:t>
      </w:r>
      <w:proofErr w:type="spellEnd"/>
      <w:r w:rsidRPr="00705727">
        <w:rPr>
          <w:rFonts w:ascii="Times New Roman" w:hAnsi="Times New Roman" w:cs="Times New Roman"/>
          <w:bCs/>
        </w:rPr>
        <w:t xml:space="preserve"> and </w:t>
      </w:r>
      <w:proofErr w:type="spellStart"/>
      <w:r w:rsidRPr="00705727">
        <w:rPr>
          <w:rFonts w:ascii="Times New Roman" w:hAnsi="Times New Roman" w:cs="Times New Roman"/>
          <w:bCs/>
        </w:rPr>
        <w:t>Chukwu</w:t>
      </w:r>
      <w:proofErr w:type="spellEnd"/>
      <w:r w:rsidRPr="00705727">
        <w:rPr>
          <w:rFonts w:ascii="Times New Roman" w:hAnsi="Times New Roman" w:cs="Times New Roman"/>
          <w:bCs/>
        </w:rPr>
        <w:t xml:space="preserve"> (2024) investigated POS terminal proliferation and its impact on rural account penetration, demonstrating that POS availability significantly improves account opening rates in underserv</w:t>
      </w:r>
      <w:r w:rsidR="000F0226">
        <w:rPr>
          <w:rFonts w:ascii="Times New Roman" w:hAnsi="Times New Roman" w:cs="Times New Roman"/>
          <w:bCs/>
        </w:rPr>
        <w:t>ed areas.</w:t>
      </w:r>
    </w:p>
    <w:p w:rsidR="00705727" w:rsidRPr="000F0226" w:rsidRDefault="00705727" w:rsidP="00705727">
      <w:pPr>
        <w:jc w:val="both"/>
        <w:rPr>
          <w:rFonts w:ascii="Times New Roman" w:hAnsi="Times New Roman" w:cs="Times New Roman"/>
          <w:b/>
          <w:bCs/>
        </w:rPr>
      </w:pPr>
      <w:r w:rsidRPr="000F0226">
        <w:rPr>
          <w:rFonts w:ascii="Times New Roman" w:hAnsi="Times New Roman" w:cs="Times New Roman"/>
          <w:b/>
          <w:bCs/>
        </w:rPr>
        <w:t xml:space="preserve">Gender Dimensions in Electronic </w:t>
      </w:r>
      <w:r w:rsidR="000F0226" w:rsidRPr="000F0226">
        <w:rPr>
          <w:rFonts w:ascii="Times New Roman" w:hAnsi="Times New Roman" w:cs="Times New Roman"/>
          <w:b/>
          <w:bCs/>
        </w:rPr>
        <w:t>Banking and Account Penetration</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Women's World Banking (2025) data reveals that in 2023, only 47% of women accessed formal financial services compared to 58% of men, indicating persistent gender gaps in account penetration. This disparity suggests that electronic banking channels may not be equally effective for all demographic groups, requiring targeted approaches to improve fe</w:t>
      </w:r>
      <w:r w:rsidR="000F0226">
        <w:rPr>
          <w:rFonts w:ascii="Times New Roman" w:hAnsi="Times New Roman" w:cs="Times New Roman"/>
          <w:bCs/>
        </w:rPr>
        <w:t xml:space="preserve">male account penetration rates. </w:t>
      </w:r>
      <w:r w:rsidRPr="00705727">
        <w:rPr>
          <w:rFonts w:ascii="Times New Roman" w:hAnsi="Times New Roman" w:cs="Times New Roman"/>
          <w:bCs/>
        </w:rPr>
        <w:t>Research on gender-responsive electronic banking strategies emphasizes the importance of developing solutions that address unique challenges women face, including mobility limitations, digital literacy barriers, and cultural restrictions on financial autonomy. Studies suggest that POS terminals may be particularly effective for improving female account penetration due to their proximity to marketplaces and trading areas where women are economically active.</w:t>
      </w:r>
    </w:p>
    <w:p w:rsidR="00705727" w:rsidRPr="000F0226" w:rsidRDefault="000F0226" w:rsidP="00705727">
      <w:pPr>
        <w:jc w:val="both"/>
        <w:rPr>
          <w:rFonts w:ascii="Times New Roman" w:hAnsi="Times New Roman" w:cs="Times New Roman"/>
          <w:b/>
          <w:bCs/>
        </w:rPr>
      </w:pPr>
      <w:r w:rsidRPr="000F0226">
        <w:rPr>
          <w:rFonts w:ascii="Times New Roman" w:hAnsi="Times New Roman" w:cs="Times New Roman"/>
          <w:b/>
          <w:bCs/>
        </w:rPr>
        <w:t>Research Gap</w:t>
      </w:r>
    </w:p>
    <w:p w:rsidR="00705727" w:rsidRPr="000F0226" w:rsidRDefault="00705727" w:rsidP="00705727">
      <w:pPr>
        <w:jc w:val="both"/>
        <w:rPr>
          <w:rFonts w:ascii="Times New Roman" w:hAnsi="Times New Roman" w:cs="Times New Roman"/>
          <w:b/>
          <w:bCs/>
        </w:rPr>
      </w:pPr>
      <w:r w:rsidRPr="000F0226">
        <w:rPr>
          <w:rFonts w:ascii="Times New Roman" w:hAnsi="Times New Roman" w:cs="Times New Roman"/>
          <w:b/>
          <w:bCs/>
        </w:rPr>
        <w:t>Account Penetration Focus Gap</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 xml:space="preserve">While existing literature addresses various dimensions of financial inclusion, there is insufficient focus on account penetration as the primary indicator of electronic banking effectiveness. Most studies employ composite measures that may obscure the specific impact of electronic banking </w:t>
      </w:r>
      <w:r w:rsidRPr="00705727">
        <w:rPr>
          <w:rFonts w:ascii="Times New Roman" w:hAnsi="Times New Roman" w:cs="Times New Roman"/>
          <w:bCs/>
        </w:rPr>
        <w:lastRenderedPageBreak/>
        <w:t>channels on fundamental account access. This study addresses this gap by focusing exclusively on account penetration as the dependent variable, providing clearer insights into how ATM and POS usage directly influence formal account ownership rates.</w:t>
      </w:r>
    </w:p>
    <w:p w:rsidR="00705727" w:rsidRPr="000F0226" w:rsidRDefault="00705727" w:rsidP="00705727">
      <w:pPr>
        <w:jc w:val="both"/>
        <w:rPr>
          <w:rFonts w:ascii="Times New Roman" w:hAnsi="Times New Roman" w:cs="Times New Roman"/>
          <w:b/>
          <w:bCs/>
        </w:rPr>
      </w:pPr>
      <w:r w:rsidRPr="000F0226">
        <w:rPr>
          <w:rFonts w:ascii="Times New Roman" w:hAnsi="Times New Roman" w:cs="Times New Roman"/>
          <w:b/>
          <w:bCs/>
        </w:rPr>
        <w:t>Electronic Ba</w:t>
      </w:r>
      <w:r w:rsidR="000F0226" w:rsidRPr="000F0226">
        <w:rPr>
          <w:rFonts w:ascii="Times New Roman" w:hAnsi="Times New Roman" w:cs="Times New Roman"/>
          <w:b/>
          <w:bCs/>
        </w:rPr>
        <w:t>nking Channel Specification Gap</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Limited research specifically isolates the individual effects of POS usage and ATM usage on account penetration. Most studies treat electronic banking as a composite variable, making it difficult to determine which channels are most effective for account penetration outcomes. This research addresses this gap by examining ATM and POS effects separately, enabling precise identification of which electronic banking channels contribute most significantly to account penetration improvement.</w:t>
      </w:r>
    </w:p>
    <w:p w:rsidR="00705727" w:rsidRPr="00705727" w:rsidRDefault="00705727" w:rsidP="00705727">
      <w:pPr>
        <w:jc w:val="both"/>
        <w:rPr>
          <w:rFonts w:ascii="Times New Roman" w:hAnsi="Times New Roman" w:cs="Times New Roman"/>
          <w:b/>
          <w:bCs/>
        </w:rPr>
      </w:pPr>
      <w:r w:rsidRPr="00705727">
        <w:rPr>
          <w:rFonts w:ascii="Times New Roman" w:hAnsi="Times New Roman" w:cs="Times New Roman"/>
          <w:b/>
          <w:bCs/>
        </w:rPr>
        <w:t>Measurement Standardization Gap</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The literature lacks standardized approaches to measuring ATM and POS effectiveness in promoting account penetration, hindering comparative analysis and policy guidance development. This study contributes to closing this gap by establishing clear metrics for measuring ATM and POS impact on account penetration, including density measures, usage intensity indicators, and accessibility metrics.</w:t>
      </w:r>
    </w:p>
    <w:p w:rsidR="00705727" w:rsidRPr="00705727" w:rsidRDefault="00705727" w:rsidP="00705727">
      <w:pPr>
        <w:jc w:val="both"/>
        <w:rPr>
          <w:rFonts w:ascii="Times New Roman" w:hAnsi="Times New Roman" w:cs="Times New Roman"/>
          <w:b/>
          <w:bCs/>
        </w:rPr>
      </w:pPr>
      <w:r w:rsidRPr="00705727">
        <w:rPr>
          <w:rFonts w:ascii="Times New Roman" w:hAnsi="Times New Roman" w:cs="Times New Roman"/>
          <w:b/>
          <w:bCs/>
        </w:rPr>
        <w:t>Methodological Rigor Gap</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Many existing studies rely on cross-sectional data, restricting the ability to establish causal relationships between electronic banking usage and account penetration outcomes. This research addresses this limitation by employing panel data analysis covering an extended period through 2024, enabling more robust causal inference about the relationship between electronic banking channels and account penetration.</w:t>
      </w:r>
    </w:p>
    <w:p w:rsidR="00705727" w:rsidRPr="00705727" w:rsidRDefault="00705727" w:rsidP="00705727">
      <w:pPr>
        <w:jc w:val="both"/>
        <w:rPr>
          <w:rFonts w:ascii="Times New Roman" w:hAnsi="Times New Roman" w:cs="Times New Roman"/>
          <w:b/>
          <w:bCs/>
        </w:rPr>
      </w:pPr>
      <w:r w:rsidRPr="00705727">
        <w:rPr>
          <w:rFonts w:ascii="Times New Roman" w:hAnsi="Times New Roman" w:cs="Times New Roman"/>
          <w:b/>
          <w:bCs/>
        </w:rPr>
        <w:t>N</w:t>
      </w:r>
      <w:r w:rsidRPr="00705727">
        <w:rPr>
          <w:rFonts w:ascii="Times New Roman" w:hAnsi="Times New Roman" w:cs="Times New Roman"/>
          <w:b/>
          <w:bCs/>
        </w:rPr>
        <w:t>igerian Context Specificity Gap</w:t>
      </w:r>
    </w:p>
    <w:p w:rsidR="00705727" w:rsidRPr="00705727" w:rsidRDefault="00705727" w:rsidP="00705727">
      <w:pPr>
        <w:jc w:val="both"/>
        <w:rPr>
          <w:rFonts w:ascii="Times New Roman" w:hAnsi="Times New Roman" w:cs="Times New Roman"/>
          <w:bCs/>
        </w:rPr>
      </w:pPr>
      <w:r w:rsidRPr="00705727">
        <w:rPr>
          <w:rFonts w:ascii="Times New Roman" w:hAnsi="Times New Roman" w:cs="Times New Roman"/>
          <w:bCs/>
        </w:rPr>
        <w:t>While international studies provide valuable insights, limited research specifically examines the relationship between electronic banking and account penetration within Nigeria's unique regulatory, economic, and cultural context. This study fills this gap by focusing exclusively on Nigeria's 43 deposit money banks, including the 14 listed on the stock exchange, providing context-specific insights directly applicable t</w:t>
      </w:r>
      <w:r>
        <w:rPr>
          <w:rFonts w:ascii="Times New Roman" w:hAnsi="Times New Roman" w:cs="Times New Roman"/>
          <w:bCs/>
        </w:rPr>
        <w:t>o Nigerian policy and practice.</w:t>
      </w:r>
    </w:p>
    <w:p w:rsidR="00705727" w:rsidRPr="00705727" w:rsidRDefault="00705727" w:rsidP="00705727">
      <w:pPr>
        <w:jc w:val="both"/>
        <w:rPr>
          <w:rFonts w:ascii="Times New Roman" w:hAnsi="Times New Roman" w:cs="Times New Roman"/>
          <w:b/>
          <w:bCs/>
        </w:rPr>
      </w:pPr>
      <w:r w:rsidRPr="00705727">
        <w:rPr>
          <w:rFonts w:ascii="Times New Roman" w:hAnsi="Times New Roman" w:cs="Times New Roman"/>
          <w:b/>
          <w:bCs/>
        </w:rPr>
        <w:t>Policy Implementation Gap</w:t>
      </w:r>
    </w:p>
    <w:p w:rsidR="00023A21" w:rsidRPr="00705727" w:rsidRDefault="00705727" w:rsidP="00705727">
      <w:pPr>
        <w:jc w:val="both"/>
        <w:rPr>
          <w:rFonts w:ascii="Times New Roman" w:hAnsi="Times New Roman" w:cs="Times New Roman"/>
          <w:bCs/>
        </w:rPr>
      </w:pPr>
      <w:r w:rsidRPr="00705727">
        <w:rPr>
          <w:rFonts w:ascii="Times New Roman" w:hAnsi="Times New Roman" w:cs="Times New Roman"/>
          <w:bCs/>
        </w:rPr>
        <w:t>From a policy perspective, insufficient evidence-based guidance exists on optimizing electronic banking deployment for maximum account penetration impact. This research addresses this gap by providing specific recommendations on how banks and policymakers can prioritize ATM and POS investments to achieve optimal account penetration outcomes, contributing to more effective financial inclusion strategies in Nigeria.</w:t>
      </w:r>
    </w:p>
    <w:p w:rsidR="00EF44D1" w:rsidRDefault="00EF44D1" w:rsidP="00EF44D1">
      <w:pPr>
        <w:rPr>
          <w:rFonts w:ascii="Times New Roman" w:hAnsi="Times New Roman" w:cs="Times New Roman"/>
          <w:b/>
          <w:bCs/>
        </w:rPr>
      </w:pPr>
    </w:p>
    <w:p w:rsidR="0024161E" w:rsidRPr="0024161E" w:rsidRDefault="0024161E" w:rsidP="00D30054">
      <w:pPr>
        <w:jc w:val="both"/>
        <w:rPr>
          <w:rFonts w:ascii="Times New Roman" w:hAnsi="Times New Roman" w:cs="Times New Roman"/>
          <w:b/>
          <w:bCs/>
        </w:rPr>
      </w:pPr>
      <w:r w:rsidRPr="0024161E">
        <w:rPr>
          <w:rFonts w:ascii="Times New Roman" w:hAnsi="Times New Roman" w:cs="Times New Roman"/>
          <w:b/>
          <w:bCs/>
        </w:rPr>
        <w:lastRenderedPageBreak/>
        <w:t>METHODOLOGY</w:t>
      </w:r>
    </w:p>
    <w:p w:rsidR="0024161E" w:rsidRPr="0024161E" w:rsidRDefault="0024161E" w:rsidP="00D30054">
      <w:pPr>
        <w:jc w:val="both"/>
        <w:rPr>
          <w:rFonts w:ascii="Times New Roman" w:hAnsi="Times New Roman" w:cs="Times New Roman"/>
          <w:b/>
          <w:bCs/>
        </w:rPr>
      </w:pPr>
      <w:r w:rsidRPr="0024161E">
        <w:rPr>
          <w:rFonts w:ascii="Times New Roman" w:hAnsi="Times New Roman" w:cs="Times New Roman"/>
          <w:b/>
          <w:bCs/>
        </w:rPr>
        <w:t>Research Design</w:t>
      </w:r>
    </w:p>
    <w:p w:rsidR="000B7D49" w:rsidRPr="000B7D49" w:rsidRDefault="000B7D49" w:rsidP="00D30054">
      <w:pPr>
        <w:jc w:val="both"/>
        <w:rPr>
          <w:rFonts w:ascii="Times New Roman" w:hAnsi="Times New Roman" w:cs="Times New Roman"/>
        </w:rPr>
      </w:pPr>
      <w:r w:rsidRPr="000B7D49">
        <w:rPr>
          <w:rFonts w:ascii="Times New Roman" w:hAnsi="Times New Roman" w:cs="Times New Roman"/>
        </w:rPr>
        <w:t xml:space="preserve">The effects of electronic banking on the financial inclusion of deposit money banks in Nigeria are investigated in this study utilizing a quantitative research approach and panel data analysis. Using secondary data from financial institutions and regulatory bodies, the study takes a positivist stance in order to empirically link financial inclusion metrics with electronic banking channels. </w:t>
      </w:r>
      <w:r>
        <w:rPr>
          <w:rFonts w:ascii="Times New Roman" w:hAnsi="Times New Roman" w:cs="Times New Roman"/>
        </w:rPr>
        <w:t xml:space="preserve">This </w:t>
      </w:r>
      <w:r w:rsidRPr="000B7D49">
        <w:rPr>
          <w:rFonts w:ascii="Times New Roman" w:hAnsi="Times New Roman" w:cs="Times New Roman"/>
        </w:rPr>
        <w:t>research approach examine</w:t>
      </w:r>
      <w:r>
        <w:rPr>
          <w:rFonts w:ascii="Times New Roman" w:hAnsi="Times New Roman" w:cs="Times New Roman"/>
        </w:rPr>
        <w:t>s</w:t>
      </w:r>
      <w:r w:rsidRPr="000B7D49">
        <w:rPr>
          <w:rFonts w:ascii="Times New Roman" w:hAnsi="Times New Roman" w:cs="Times New Roman"/>
        </w:rPr>
        <w:t xml:space="preserve"> the causal links between financial inclusion outcomes (account penetration, usage frequency, and geographic reach) and electronic banking variables (ATM and POS transactions). This method makes it possible to pinpoint the precise ways that electronic banking channels affect financial inclusion indicators.</w:t>
      </w:r>
    </w:p>
    <w:p w:rsidR="0024161E" w:rsidRPr="0024161E" w:rsidRDefault="0024161E" w:rsidP="00D30054">
      <w:pPr>
        <w:jc w:val="both"/>
        <w:rPr>
          <w:rFonts w:ascii="Times New Roman" w:hAnsi="Times New Roman" w:cs="Times New Roman"/>
          <w:b/>
          <w:bCs/>
        </w:rPr>
      </w:pPr>
      <w:r w:rsidRPr="0024161E">
        <w:rPr>
          <w:rFonts w:ascii="Times New Roman" w:hAnsi="Times New Roman" w:cs="Times New Roman"/>
          <w:b/>
          <w:bCs/>
        </w:rPr>
        <w:t>Population and Sample</w:t>
      </w:r>
    </w:p>
    <w:p w:rsidR="0024161E" w:rsidRPr="0024161E" w:rsidRDefault="0024161E" w:rsidP="00D30054">
      <w:pPr>
        <w:jc w:val="both"/>
        <w:rPr>
          <w:rFonts w:ascii="Times New Roman" w:hAnsi="Times New Roman" w:cs="Times New Roman"/>
        </w:rPr>
      </w:pPr>
      <w:r w:rsidRPr="0024161E">
        <w:rPr>
          <w:rFonts w:ascii="Times New Roman" w:hAnsi="Times New Roman" w:cs="Times New Roman"/>
        </w:rPr>
        <w:t xml:space="preserve">The population for this study consists of all deposit money banks licensed by the Central Bank of </w:t>
      </w:r>
      <w:r w:rsidR="00D30054">
        <w:rPr>
          <w:rFonts w:ascii="Times New Roman" w:hAnsi="Times New Roman" w:cs="Times New Roman"/>
        </w:rPr>
        <w:t>Nigeria. As of 2024, there are 14</w:t>
      </w:r>
      <w:r w:rsidRPr="0024161E">
        <w:rPr>
          <w:rFonts w:ascii="Times New Roman" w:hAnsi="Times New Roman" w:cs="Times New Roman"/>
        </w:rPr>
        <w:t xml:space="preserve"> deposit money banks operating in Nigeria, forming the complete population for this research. Given the manageable size of the population and the availability of comprehensive data, the study adopts a </w:t>
      </w:r>
      <w:r w:rsidR="00D30054">
        <w:rPr>
          <w:rFonts w:ascii="Times New Roman" w:hAnsi="Times New Roman" w:cs="Times New Roman"/>
        </w:rPr>
        <w:t>census approach, including all 14</w:t>
      </w:r>
      <w:r w:rsidRPr="0024161E">
        <w:rPr>
          <w:rFonts w:ascii="Times New Roman" w:hAnsi="Times New Roman" w:cs="Times New Roman"/>
        </w:rPr>
        <w:t xml:space="preserve"> deposit money banks in the analysis.</w:t>
      </w:r>
      <w:r w:rsidR="000807CB">
        <w:rPr>
          <w:rFonts w:ascii="Times New Roman" w:hAnsi="Times New Roman" w:cs="Times New Roman"/>
        </w:rPr>
        <w:t xml:space="preserve"> </w:t>
      </w:r>
      <w:r w:rsidRPr="0024161E">
        <w:rPr>
          <w:rFonts w:ascii="Times New Roman" w:hAnsi="Times New Roman" w:cs="Times New Roman"/>
        </w:rPr>
        <w:t>The temporal scope of the study covers a five-year period from 2019 to 202</w:t>
      </w:r>
      <w:r w:rsidR="00D30054">
        <w:rPr>
          <w:rFonts w:ascii="Times New Roman" w:hAnsi="Times New Roman" w:cs="Times New Roman"/>
        </w:rPr>
        <w:t>4</w:t>
      </w:r>
      <w:r w:rsidRPr="0024161E">
        <w:rPr>
          <w:rFonts w:ascii="Times New Roman" w:hAnsi="Times New Roman" w:cs="Times New Roman"/>
        </w:rPr>
        <w:t>, providing sufficient observations for robust panel data analysis while capturing recent trends in electronic banking adoption and financial inclusion outcomes.</w:t>
      </w:r>
    </w:p>
    <w:p w:rsidR="0024161E" w:rsidRPr="0024161E" w:rsidRDefault="0024161E" w:rsidP="00D30054">
      <w:pPr>
        <w:jc w:val="both"/>
        <w:rPr>
          <w:rFonts w:ascii="Times New Roman" w:hAnsi="Times New Roman" w:cs="Times New Roman"/>
          <w:b/>
          <w:bCs/>
        </w:rPr>
      </w:pPr>
      <w:r w:rsidRPr="0024161E">
        <w:rPr>
          <w:rFonts w:ascii="Times New Roman" w:hAnsi="Times New Roman" w:cs="Times New Roman"/>
          <w:b/>
          <w:bCs/>
        </w:rPr>
        <w:t>Data Sources and Collection</w:t>
      </w:r>
    </w:p>
    <w:p w:rsidR="0024161E" w:rsidRPr="0024161E" w:rsidRDefault="0024161E" w:rsidP="00D30054">
      <w:pPr>
        <w:jc w:val="both"/>
        <w:rPr>
          <w:rFonts w:ascii="Times New Roman" w:hAnsi="Times New Roman" w:cs="Times New Roman"/>
        </w:rPr>
      </w:pPr>
      <w:r w:rsidRPr="0024161E">
        <w:rPr>
          <w:rFonts w:ascii="Times New Roman" w:hAnsi="Times New Roman" w:cs="Times New Roman"/>
        </w:rPr>
        <w:t>The study relies primarily on secondary data obtained from authoritative sources:</w:t>
      </w:r>
    </w:p>
    <w:p w:rsidR="0024161E" w:rsidRPr="00F07E4B" w:rsidRDefault="0024161E" w:rsidP="00D30054">
      <w:pPr>
        <w:jc w:val="both"/>
        <w:rPr>
          <w:rFonts w:ascii="Times New Roman" w:hAnsi="Times New Roman" w:cs="Times New Roman"/>
        </w:rPr>
      </w:pPr>
      <w:r w:rsidRPr="00F07E4B">
        <w:rPr>
          <w:rFonts w:ascii="Times New Roman" w:hAnsi="Times New Roman" w:cs="Times New Roman"/>
          <w:bCs/>
        </w:rPr>
        <w:t>Central Bank of Nigeria (CBN)</w:t>
      </w:r>
      <w:r w:rsidRPr="00F07E4B">
        <w:rPr>
          <w:rFonts w:ascii="Times New Roman" w:hAnsi="Times New Roman" w:cs="Times New Roman"/>
        </w:rPr>
        <w:t>: Financial inclusion indicators, banking statistics, electronic banking transaction data, and regulatory reports.</w:t>
      </w:r>
    </w:p>
    <w:p w:rsidR="0024161E" w:rsidRPr="00F07E4B" w:rsidRDefault="0024161E" w:rsidP="00D30054">
      <w:pPr>
        <w:jc w:val="both"/>
        <w:rPr>
          <w:rFonts w:ascii="Times New Roman" w:hAnsi="Times New Roman" w:cs="Times New Roman"/>
        </w:rPr>
      </w:pPr>
      <w:r w:rsidRPr="00F07E4B">
        <w:rPr>
          <w:rFonts w:ascii="Times New Roman" w:hAnsi="Times New Roman" w:cs="Times New Roman"/>
          <w:bCs/>
        </w:rPr>
        <w:t>Nigeria Inter-Bank Settlement System (NIBSS)</w:t>
      </w:r>
      <w:r w:rsidRPr="00F07E4B">
        <w:rPr>
          <w:rFonts w:ascii="Times New Roman" w:hAnsi="Times New Roman" w:cs="Times New Roman"/>
        </w:rPr>
        <w:t>: Electronic payment transaction volumes and values, ATM and POS usage statistics.</w:t>
      </w:r>
    </w:p>
    <w:p w:rsidR="0024161E" w:rsidRPr="00F07E4B" w:rsidRDefault="0024161E" w:rsidP="00D30054">
      <w:pPr>
        <w:jc w:val="both"/>
        <w:rPr>
          <w:rFonts w:ascii="Times New Roman" w:hAnsi="Times New Roman" w:cs="Times New Roman"/>
        </w:rPr>
      </w:pPr>
      <w:r w:rsidRPr="00F07E4B">
        <w:rPr>
          <w:rFonts w:ascii="Times New Roman" w:hAnsi="Times New Roman" w:cs="Times New Roman"/>
          <w:bCs/>
        </w:rPr>
        <w:t>Individual Bank Annual Reports</w:t>
      </w:r>
      <w:r w:rsidRPr="00F07E4B">
        <w:rPr>
          <w:rFonts w:ascii="Times New Roman" w:hAnsi="Times New Roman" w:cs="Times New Roman"/>
        </w:rPr>
        <w:t>: Bank-specific data on electronic banking infrastructure, transaction volumes, customer demographics, and financial inclusion initiatives.</w:t>
      </w:r>
    </w:p>
    <w:p w:rsidR="0024161E" w:rsidRPr="00F07E4B" w:rsidRDefault="0024161E" w:rsidP="00D30054">
      <w:pPr>
        <w:jc w:val="both"/>
        <w:rPr>
          <w:rFonts w:ascii="Times New Roman" w:hAnsi="Times New Roman" w:cs="Times New Roman"/>
        </w:rPr>
      </w:pPr>
      <w:proofErr w:type="spellStart"/>
      <w:r w:rsidRPr="00F07E4B">
        <w:rPr>
          <w:rFonts w:ascii="Times New Roman" w:hAnsi="Times New Roman" w:cs="Times New Roman"/>
          <w:bCs/>
        </w:rPr>
        <w:t>EFInA</w:t>
      </w:r>
      <w:proofErr w:type="spellEnd"/>
      <w:r w:rsidRPr="00F07E4B">
        <w:rPr>
          <w:rFonts w:ascii="Times New Roman" w:hAnsi="Times New Roman" w:cs="Times New Roman"/>
          <w:bCs/>
        </w:rPr>
        <w:t xml:space="preserve"> Access to Financial Services Surveys</w:t>
      </w:r>
      <w:r w:rsidRPr="00F07E4B">
        <w:rPr>
          <w:rFonts w:ascii="Times New Roman" w:hAnsi="Times New Roman" w:cs="Times New Roman"/>
        </w:rPr>
        <w:t>: Demographic and geographic distribution of financial services access.</w:t>
      </w:r>
    </w:p>
    <w:p w:rsidR="0024161E" w:rsidRPr="0024161E" w:rsidRDefault="0024161E" w:rsidP="00D30054">
      <w:pPr>
        <w:jc w:val="both"/>
        <w:rPr>
          <w:rFonts w:ascii="Times New Roman" w:hAnsi="Times New Roman" w:cs="Times New Roman"/>
        </w:rPr>
      </w:pPr>
      <w:r w:rsidRPr="00F07E4B">
        <w:rPr>
          <w:rFonts w:ascii="Times New Roman" w:hAnsi="Times New Roman" w:cs="Times New Roman"/>
          <w:bCs/>
        </w:rPr>
        <w:t>National Bureau of Statistics (NBS)</w:t>
      </w:r>
      <w:r w:rsidRPr="00F07E4B">
        <w:rPr>
          <w:rFonts w:ascii="Times New Roman" w:hAnsi="Times New Roman" w:cs="Times New Roman"/>
        </w:rPr>
        <w:t>:</w:t>
      </w:r>
      <w:r w:rsidRPr="0024161E">
        <w:rPr>
          <w:rFonts w:ascii="Times New Roman" w:hAnsi="Times New Roman" w:cs="Times New Roman"/>
        </w:rPr>
        <w:t xml:space="preserve"> Population demographics, economic indicators, and geographic data for calculating penetration rates.</w:t>
      </w:r>
    </w:p>
    <w:p w:rsidR="0024161E" w:rsidRPr="0024161E" w:rsidRDefault="0024161E" w:rsidP="0024161E">
      <w:pPr>
        <w:jc w:val="both"/>
        <w:rPr>
          <w:rFonts w:ascii="Times New Roman" w:hAnsi="Times New Roman" w:cs="Times New Roman"/>
          <w:b/>
          <w:bCs/>
        </w:rPr>
      </w:pPr>
      <w:r w:rsidRPr="0024161E">
        <w:rPr>
          <w:rFonts w:ascii="Times New Roman" w:hAnsi="Times New Roman" w:cs="Times New Roman"/>
          <w:b/>
          <w:bCs/>
        </w:rPr>
        <w:t>Variables and Measurement</w:t>
      </w:r>
    </w:p>
    <w:p w:rsidR="0024161E" w:rsidRPr="0024161E" w:rsidRDefault="0024161E" w:rsidP="0024161E">
      <w:pPr>
        <w:jc w:val="both"/>
        <w:rPr>
          <w:rFonts w:ascii="Times New Roman" w:hAnsi="Times New Roman" w:cs="Times New Roman"/>
        </w:rPr>
      </w:pPr>
      <w:r w:rsidRPr="0024161E">
        <w:rPr>
          <w:rFonts w:ascii="Times New Roman" w:hAnsi="Times New Roman" w:cs="Times New Roman"/>
          <w:b/>
          <w:bCs/>
        </w:rPr>
        <w:t>Dependent Variables (Financial Inclusion Indicators):</w:t>
      </w:r>
    </w:p>
    <w:p w:rsidR="0024161E" w:rsidRPr="00F07E4B" w:rsidRDefault="0024161E" w:rsidP="0024161E">
      <w:pPr>
        <w:numPr>
          <w:ilvl w:val="0"/>
          <w:numId w:val="2"/>
        </w:numPr>
        <w:jc w:val="both"/>
        <w:rPr>
          <w:rFonts w:ascii="Times New Roman" w:hAnsi="Times New Roman" w:cs="Times New Roman"/>
        </w:rPr>
      </w:pPr>
      <w:r w:rsidRPr="00F07E4B">
        <w:rPr>
          <w:rFonts w:ascii="Times New Roman" w:hAnsi="Times New Roman" w:cs="Times New Roman"/>
          <w:bCs/>
        </w:rPr>
        <w:lastRenderedPageBreak/>
        <w:t>Account Penetration Rate (APR)</w:t>
      </w:r>
      <w:r w:rsidRPr="00F07E4B">
        <w:rPr>
          <w:rFonts w:ascii="Times New Roman" w:hAnsi="Times New Roman" w:cs="Times New Roman"/>
        </w:rPr>
        <w:t>: Measured as the percentage of adults with formal bank accounts in each bank's operational area</w:t>
      </w:r>
    </w:p>
    <w:p w:rsidR="0024161E" w:rsidRPr="00F07E4B" w:rsidRDefault="0024161E" w:rsidP="0024161E">
      <w:pPr>
        <w:numPr>
          <w:ilvl w:val="0"/>
          <w:numId w:val="2"/>
        </w:numPr>
        <w:jc w:val="both"/>
        <w:rPr>
          <w:rFonts w:ascii="Times New Roman" w:hAnsi="Times New Roman" w:cs="Times New Roman"/>
        </w:rPr>
      </w:pPr>
      <w:r w:rsidRPr="00F07E4B">
        <w:rPr>
          <w:rFonts w:ascii="Times New Roman" w:hAnsi="Times New Roman" w:cs="Times New Roman"/>
          <w:bCs/>
        </w:rPr>
        <w:t>Usage Frequency Index (UFI)</w:t>
      </w:r>
      <w:r w:rsidRPr="00F07E4B">
        <w:rPr>
          <w:rFonts w:ascii="Times New Roman" w:hAnsi="Times New Roman" w:cs="Times New Roman"/>
        </w:rPr>
        <w:t>: Average number of transactions per account per month</w:t>
      </w:r>
    </w:p>
    <w:p w:rsidR="0024161E" w:rsidRPr="0024161E" w:rsidRDefault="0024161E" w:rsidP="0024161E">
      <w:pPr>
        <w:numPr>
          <w:ilvl w:val="0"/>
          <w:numId w:val="2"/>
        </w:numPr>
        <w:jc w:val="both"/>
        <w:rPr>
          <w:rFonts w:ascii="Times New Roman" w:hAnsi="Times New Roman" w:cs="Times New Roman"/>
        </w:rPr>
      </w:pPr>
      <w:r w:rsidRPr="00F07E4B">
        <w:rPr>
          <w:rFonts w:ascii="Times New Roman" w:hAnsi="Times New Roman" w:cs="Times New Roman"/>
          <w:bCs/>
        </w:rPr>
        <w:t>Geographic Reach Index (GRI</w:t>
      </w:r>
      <w:r w:rsidRPr="0024161E">
        <w:rPr>
          <w:rFonts w:ascii="Times New Roman" w:hAnsi="Times New Roman" w:cs="Times New Roman"/>
          <w:b/>
          <w:bCs/>
        </w:rPr>
        <w:t>)</w:t>
      </w:r>
      <w:r w:rsidRPr="0024161E">
        <w:rPr>
          <w:rFonts w:ascii="Times New Roman" w:hAnsi="Times New Roman" w:cs="Times New Roman"/>
        </w:rPr>
        <w:t>: Number of service points (branches + ATMs + POS) per 100,000 adults in operational areas</w:t>
      </w:r>
    </w:p>
    <w:p w:rsidR="0024161E" w:rsidRPr="0024161E" w:rsidRDefault="0024161E" w:rsidP="0024161E">
      <w:pPr>
        <w:jc w:val="both"/>
        <w:rPr>
          <w:rFonts w:ascii="Times New Roman" w:hAnsi="Times New Roman" w:cs="Times New Roman"/>
        </w:rPr>
      </w:pPr>
      <w:r w:rsidRPr="0024161E">
        <w:rPr>
          <w:rFonts w:ascii="Times New Roman" w:hAnsi="Times New Roman" w:cs="Times New Roman"/>
          <w:b/>
          <w:bCs/>
        </w:rPr>
        <w:t>Independent Variables (Electronic Banking Channels):</w:t>
      </w:r>
    </w:p>
    <w:p w:rsidR="0024161E" w:rsidRPr="00F07E4B" w:rsidRDefault="0024161E" w:rsidP="0024161E">
      <w:pPr>
        <w:numPr>
          <w:ilvl w:val="0"/>
          <w:numId w:val="3"/>
        </w:numPr>
        <w:jc w:val="both"/>
        <w:rPr>
          <w:rFonts w:ascii="Times New Roman" w:hAnsi="Times New Roman" w:cs="Times New Roman"/>
        </w:rPr>
      </w:pPr>
      <w:r w:rsidRPr="00F07E4B">
        <w:rPr>
          <w:rFonts w:ascii="Times New Roman" w:hAnsi="Times New Roman" w:cs="Times New Roman"/>
          <w:bCs/>
        </w:rPr>
        <w:t>ATM Transaction Volume (ATV)</w:t>
      </w:r>
      <w:r w:rsidRPr="00F07E4B">
        <w:rPr>
          <w:rFonts w:ascii="Times New Roman" w:hAnsi="Times New Roman" w:cs="Times New Roman"/>
        </w:rPr>
        <w:t>: Total number of ATM transactions per bank per year</w:t>
      </w:r>
    </w:p>
    <w:p w:rsidR="0024161E" w:rsidRPr="00F07E4B" w:rsidRDefault="0024161E" w:rsidP="0024161E">
      <w:pPr>
        <w:numPr>
          <w:ilvl w:val="0"/>
          <w:numId w:val="3"/>
        </w:numPr>
        <w:jc w:val="both"/>
        <w:rPr>
          <w:rFonts w:ascii="Times New Roman" w:hAnsi="Times New Roman" w:cs="Times New Roman"/>
        </w:rPr>
      </w:pPr>
      <w:r w:rsidRPr="00F07E4B">
        <w:rPr>
          <w:rFonts w:ascii="Times New Roman" w:hAnsi="Times New Roman" w:cs="Times New Roman"/>
          <w:bCs/>
        </w:rPr>
        <w:t>ATM Transaction Value (AVAL)</w:t>
      </w:r>
      <w:r w:rsidRPr="00F07E4B">
        <w:rPr>
          <w:rFonts w:ascii="Times New Roman" w:hAnsi="Times New Roman" w:cs="Times New Roman"/>
        </w:rPr>
        <w:t>: Total value of ATM transactions per bank per year (in billions of Naira)</w:t>
      </w:r>
    </w:p>
    <w:p w:rsidR="0024161E" w:rsidRPr="00F07E4B" w:rsidRDefault="0024161E" w:rsidP="0024161E">
      <w:pPr>
        <w:numPr>
          <w:ilvl w:val="0"/>
          <w:numId w:val="3"/>
        </w:numPr>
        <w:jc w:val="both"/>
        <w:rPr>
          <w:rFonts w:ascii="Times New Roman" w:hAnsi="Times New Roman" w:cs="Times New Roman"/>
        </w:rPr>
      </w:pPr>
      <w:r w:rsidRPr="00F07E4B">
        <w:rPr>
          <w:rFonts w:ascii="Times New Roman" w:hAnsi="Times New Roman" w:cs="Times New Roman"/>
          <w:bCs/>
        </w:rPr>
        <w:t>POS Transaction Volume (PTV)</w:t>
      </w:r>
      <w:r w:rsidRPr="00F07E4B">
        <w:rPr>
          <w:rFonts w:ascii="Times New Roman" w:hAnsi="Times New Roman" w:cs="Times New Roman"/>
        </w:rPr>
        <w:t>: Total number of POS transactions per bank per year</w:t>
      </w:r>
    </w:p>
    <w:p w:rsidR="0024161E" w:rsidRPr="0024161E" w:rsidRDefault="0024161E" w:rsidP="0024161E">
      <w:pPr>
        <w:numPr>
          <w:ilvl w:val="0"/>
          <w:numId w:val="3"/>
        </w:numPr>
        <w:jc w:val="both"/>
        <w:rPr>
          <w:rFonts w:ascii="Times New Roman" w:hAnsi="Times New Roman" w:cs="Times New Roman"/>
        </w:rPr>
      </w:pPr>
      <w:r w:rsidRPr="00F07E4B">
        <w:rPr>
          <w:rFonts w:ascii="Times New Roman" w:hAnsi="Times New Roman" w:cs="Times New Roman"/>
          <w:bCs/>
        </w:rPr>
        <w:t>POS Transaction Value (PVAL)</w:t>
      </w:r>
      <w:r w:rsidRPr="00F07E4B">
        <w:rPr>
          <w:rFonts w:ascii="Times New Roman" w:hAnsi="Times New Roman" w:cs="Times New Roman"/>
        </w:rPr>
        <w:t>:</w:t>
      </w:r>
      <w:r w:rsidRPr="0024161E">
        <w:rPr>
          <w:rFonts w:ascii="Times New Roman" w:hAnsi="Times New Roman" w:cs="Times New Roman"/>
        </w:rPr>
        <w:t xml:space="preserve"> Total value of POS transactions per bank per year (in billions of Naira)</w:t>
      </w:r>
    </w:p>
    <w:p w:rsidR="0024161E" w:rsidRPr="0024161E" w:rsidRDefault="0024161E" w:rsidP="0024161E">
      <w:pPr>
        <w:jc w:val="both"/>
        <w:rPr>
          <w:rFonts w:ascii="Times New Roman" w:hAnsi="Times New Roman" w:cs="Times New Roman"/>
          <w:b/>
          <w:bCs/>
        </w:rPr>
      </w:pPr>
      <w:r w:rsidRPr="0024161E">
        <w:rPr>
          <w:rFonts w:ascii="Times New Roman" w:hAnsi="Times New Roman" w:cs="Times New Roman"/>
          <w:b/>
          <w:bCs/>
        </w:rPr>
        <w:t>Model Specification</w:t>
      </w:r>
    </w:p>
    <w:p w:rsidR="0024161E" w:rsidRPr="0024161E" w:rsidRDefault="0024161E" w:rsidP="0024161E">
      <w:pPr>
        <w:jc w:val="both"/>
        <w:rPr>
          <w:rFonts w:ascii="Times New Roman" w:hAnsi="Times New Roman" w:cs="Times New Roman"/>
        </w:rPr>
      </w:pPr>
      <w:r w:rsidRPr="0024161E">
        <w:rPr>
          <w:rFonts w:ascii="Times New Roman" w:hAnsi="Times New Roman" w:cs="Times New Roman"/>
        </w:rPr>
        <w:t>The study employs panel data regression models to analyze the relationship between electronic banking and financial inclusion. The general model specification is:</w:t>
      </w:r>
    </w:p>
    <w:p w:rsidR="0024161E" w:rsidRPr="00105A73" w:rsidRDefault="009452D9" w:rsidP="0024161E">
      <w:p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FI</m:t>
            </m:r>
          </m:e>
          <m:sub>
            <m:r>
              <w:rPr>
                <w:rFonts w:ascii="Cambria Math" w:hAnsi="Cambria Math" w:cs="Times New Roman"/>
              </w:rPr>
              <m:t>it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AT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it</m:t>
            </m:r>
          </m:sub>
        </m:sSub>
      </m:oMath>
      <w:r w:rsidR="005509A5" w:rsidRPr="00105A73">
        <w:rPr>
          <w:rFonts w:ascii="Times New Roman" w:eastAsiaTheme="minorEastAsia"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AV</m:t>
        </m:r>
        <m:sSub>
          <m:sSubPr>
            <m:ctrlPr>
              <w:rPr>
                <w:rFonts w:ascii="Cambria Math" w:hAnsi="Cambria Math" w:cs="Times New Roman"/>
                <w:i/>
              </w:rPr>
            </m:ctrlPr>
          </m:sSubPr>
          <m:e>
            <m:r>
              <w:rPr>
                <w:rFonts w:ascii="Cambria Math" w:hAnsi="Cambria Math" w:cs="Times New Roman"/>
              </w:rPr>
              <m:t>AL</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PT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4</m:t>
            </m:r>
          </m:sub>
        </m:sSub>
        <m:r>
          <w:rPr>
            <w:rFonts w:ascii="Cambria Math" w:hAnsi="Cambria Math" w:cs="Times New Roman"/>
          </w:rPr>
          <m:t xml:space="preserve">PV </m:t>
        </m:r>
        <m:sSub>
          <m:sSubPr>
            <m:ctrlPr>
              <w:rPr>
                <w:rFonts w:ascii="Cambria Math" w:hAnsi="Cambria Math" w:cs="Times New Roman"/>
                <w:i/>
              </w:rPr>
            </m:ctrlPr>
          </m:sSubPr>
          <m:e>
            <m:r>
              <w:rPr>
                <w:rFonts w:ascii="Cambria Math" w:hAnsi="Cambria Math" w:cs="Times New Roman"/>
              </w:rPr>
              <m:t>AL</m:t>
            </m:r>
          </m:e>
          <m:sub>
            <m:r>
              <w:rPr>
                <w:rFonts w:ascii="Cambria Math" w:hAnsi="Cambria Math" w:cs="Times New Roman"/>
              </w:rPr>
              <m:t>it</m:t>
            </m:r>
          </m:sub>
        </m:sSub>
        <m:r>
          <w:rPr>
            <w:rFonts w:ascii="Cambria Math" w:hAnsi="Cambria Math" w:cs="Times New Roman"/>
          </w:rPr>
          <m:t>+ γ</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oMath>
      <w:r w:rsidR="00F1349C" w:rsidRPr="00105A73">
        <w:rPr>
          <w:rFonts w:ascii="Times New Roman" w:eastAsiaTheme="minorEastAsia"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r>
          <w:rPr>
            <w:rFonts w:ascii="Cambria Math" w:hAnsi="Cambria Math" w:cs="Times New Roman"/>
          </w:rPr>
          <m:t xml:space="preserve"> </m:t>
        </m:r>
      </m:oMath>
      <w:r w:rsidR="005509A5" w:rsidRPr="00105A73">
        <w:rPr>
          <w:rFonts w:ascii="Times New Roman" w:eastAsiaTheme="minorEastAsia" w:hAnsi="Times New Roman" w:cs="Times New Roman"/>
        </w:rPr>
        <w:t xml:space="preserve"> </w:t>
      </w:r>
    </w:p>
    <w:p w:rsidR="0024161E" w:rsidRPr="0024161E" w:rsidRDefault="0024161E" w:rsidP="0024161E">
      <w:pPr>
        <w:jc w:val="both"/>
        <w:rPr>
          <w:rFonts w:ascii="Times New Roman" w:hAnsi="Times New Roman" w:cs="Times New Roman"/>
        </w:rPr>
      </w:pPr>
      <w:r w:rsidRPr="0024161E">
        <w:rPr>
          <w:rFonts w:ascii="Times New Roman" w:hAnsi="Times New Roman" w:cs="Times New Roman"/>
        </w:rPr>
        <w:t>Where:</w:t>
      </w:r>
    </w:p>
    <w:p w:rsidR="0024161E" w:rsidRPr="00F07E4B" w:rsidRDefault="009452D9" w:rsidP="0024161E">
      <w:pPr>
        <w:numPr>
          <w:ilvl w:val="0"/>
          <w:numId w:val="5"/>
        </w:numPr>
        <w:jc w:val="both"/>
        <w:rPr>
          <w:rFonts w:ascii="Times New Roman" w:hAnsi="Times New Roman" w:cs="Times New Roman"/>
        </w:rPr>
      </w:pPr>
      <m:oMath>
        <m:sSub>
          <m:sSubPr>
            <m:ctrlPr>
              <w:rPr>
                <w:rFonts w:ascii="Cambria Math" w:hAnsi="Cambria Math" w:cs="Times New Roman"/>
                <w:bCs/>
                <w:i/>
              </w:rPr>
            </m:ctrlPr>
          </m:sSubPr>
          <m:e>
            <m:r>
              <w:rPr>
                <w:rFonts w:ascii="Cambria Math" w:hAnsi="Cambria Math" w:cs="Times New Roman"/>
              </w:rPr>
              <m:t>FI</m:t>
            </m:r>
          </m:e>
          <m:sub>
            <m:r>
              <w:rPr>
                <w:rFonts w:ascii="Cambria Math" w:hAnsi="Cambria Math" w:cs="Times New Roman"/>
              </w:rPr>
              <m:t>it</m:t>
            </m:r>
          </m:sub>
        </m:sSub>
      </m:oMath>
      <w:r w:rsidR="005509A5" w:rsidRPr="00F07E4B">
        <w:rPr>
          <w:rFonts w:ascii="Times New Roman" w:hAnsi="Times New Roman" w:cs="Times New Roman"/>
        </w:rPr>
        <w:t xml:space="preserve">: </w:t>
      </w:r>
      <w:r w:rsidR="0024161E" w:rsidRPr="00F07E4B">
        <w:rPr>
          <w:rFonts w:ascii="Times New Roman" w:hAnsi="Times New Roman" w:cs="Times New Roman"/>
        </w:rPr>
        <w:t>represents financial inclusion indicators for bank i at time t</w:t>
      </w:r>
    </w:p>
    <w:p w:rsidR="0024161E" w:rsidRPr="00F07E4B" w:rsidRDefault="0024161E" w:rsidP="0024161E">
      <w:pPr>
        <w:numPr>
          <w:ilvl w:val="0"/>
          <w:numId w:val="5"/>
        </w:numPr>
        <w:jc w:val="both"/>
        <w:rPr>
          <w:rFonts w:ascii="Times New Roman" w:hAnsi="Times New Roman" w:cs="Times New Roman"/>
        </w:rPr>
      </w:pPr>
      <w:r w:rsidRPr="00F07E4B">
        <w:rPr>
          <w:rFonts w:ascii="Times New Roman" w:hAnsi="Times New Roman" w:cs="Times New Roman"/>
        </w:rPr>
        <w:t>ATV, AVAL, PTV, PVAL</w:t>
      </w:r>
      <w:r w:rsidR="005509A5" w:rsidRPr="00F07E4B">
        <w:rPr>
          <w:rFonts w:ascii="Times New Roman" w:hAnsi="Times New Roman" w:cs="Times New Roman"/>
        </w:rPr>
        <w:t>: E</w:t>
      </w:r>
      <w:r w:rsidRPr="00F07E4B">
        <w:rPr>
          <w:rFonts w:ascii="Times New Roman" w:hAnsi="Times New Roman" w:cs="Times New Roman"/>
        </w:rPr>
        <w:t>lectronic banking variables</w:t>
      </w:r>
    </w:p>
    <w:p w:rsidR="0024161E" w:rsidRPr="00F07E4B" w:rsidRDefault="009452D9" w:rsidP="0024161E">
      <w:pPr>
        <w:numPr>
          <w:ilvl w:val="0"/>
          <w:numId w:val="5"/>
        </w:numPr>
        <w:jc w:val="both"/>
        <w:rPr>
          <w:rFonts w:ascii="Times New Roman" w:hAnsi="Times New Roman" w:cs="Times New Roman"/>
        </w:rPr>
      </w:pPr>
      <m:oMath>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 xml:space="preserve"> </m:t>
        </m:r>
        <m:r>
          <w:rPr>
            <w:rFonts w:ascii="Cambria Math" w:eastAsiaTheme="minorEastAsia" w:hAnsi="Cambria Math" w:cs="Times New Roman"/>
          </w:rPr>
          <m:t>:</m:t>
        </m:r>
      </m:oMath>
      <w:r w:rsidR="005509A5" w:rsidRPr="00F07E4B">
        <w:rPr>
          <w:rFonts w:ascii="Times New Roman" w:eastAsiaTheme="minorEastAsia" w:hAnsi="Times New Roman" w:cs="Times New Roman"/>
          <w:bCs/>
        </w:rPr>
        <w:t xml:space="preserve"> </w:t>
      </w:r>
      <w:r w:rsidR="0024161E" w:rsidRPr="00F07E4B">
        <w:rPr>
          <w:rFonts w:ascii="Times New Roman" w:hAnsi="Times New Roman" w:cs="Times New Roman"/>
        </w:rPr>
        <w:t>control variables</w:t>
      </w:r>
    </w:p>
    <w:p w:rsidR="0024161E" w:rsidRPr="00F07E4B" w:rsidRDefault="00F1349C" w:rsidP="0024161E">
      <w:pPr>
        <w:numPr>
          <w:ilvl w:val="0"/>
          <w:numId w:val="5"/>
        </w:numPr>
        <w:jc w:val="both"/>
        <w:rPr>
          <w:rFonts w:ascii="Times New Roman" w:hAnsi="Times New Roman" w:cs="Times New Roman"/>
        </w:rPr>
      </w:pPr>
      <w:r w:rsidRPr="00F07E4B">
        <w:rPr>
          <w:rFonts w:ascii="Times New Roman" w:eastAsiaTheme="minorEastAsia" w:hAnsi="Times New Roman" w:cs="Times New Roman"/>
          <w:bCs/>
        </w:rPr>
        <w:t xml:space="preserve">+ </w:t>
      </w:r>
      <m:oMath>
        <m:sSub>
          <m:sSubPr>
            <m:ctrlPr>
              <w:rPr>
                <w:rFonts w:ascii="Cambria Math" w:hAnsi="Cambria Math" w:cs="Times New Roman"/>
                <w:bCs/>
                <w:i/>
              </w:rPr>
            </m:ctrlPr>
          </m:sSubPr>
          <m:e>
            <m:r>
              <w:rPr>
                <w:rFonts w:ascii="Cambria Math" w:hAnsi="Cambria Math" w:cs="Times New Roman"/>
              </w:rPr>
              <m:t>μ</m:t>
            </m:r>
          </m:e>
          <m:sub>
            <m:r>
              <w:rPr>
                <w:rFonts w:ascii="Cambria Math" w:hAnsi="Cambria Math" w:cs="Times New Roman"/>
              </w:rPr>
              <m:t>it</m:t>
            </m:r>
          </m:sub>
        </m:sSub>
        <m:r>
          <w:rPr>
            <w:rFonts w:ascii="Cambria Math" w:hAnsi="Cambria Math" w:cs="Times New Roman"/>
          </w:rPr>
          <m:t xml:space="preserve">: </m:t>
        </m:r>
      </m:oMath>
      <w:r w:rsidR="0024161E" w:rsidRPr="00F07E4B">
        <w:rPr>
          <w:rFonts w:ascii="Times New Roman" w:hAnsi="Times New Roman" w:cs="Times New Roman"/>
        </w:rPr>
        <w:t xml:space="preserve"> unobserved bank-specific effect</w:t>
      </w:r>
    </w:p>
    <w:p w:rsidR="0024161E" w:rsidRPr="0024161E" w:rsidRDefault="00F1349C" w:rsidP="0024161E">
      <w:pPr>
        <w:numPr>
          <w:ilvl w:val="0"/>
          <w:numId w:val="5"/>
        </w:numPr>
        <w:jc w:val="both"/>
        <w:rPr>
          <w:rFonts w:ascii="Times New Roman" w:hAnsi="Times New Roman" w:cs="Times New Roman"/>
        </w:rPr>
      </w:pPr>
      <w:r w:rsidRPr="00F07E4B">
        <w:rPr>
          <w:rFonts w:ascii="Times New Roman" w:eastAsiaTheme="minorEastAsia" w:hAnsi="Times New Roman" w:cs="Times New Roman"/>
          <w:bCs/>
        </w:rPr>
        <w:t xml:space="preserve">+ </w:t>
      </w:r>
      <m:oMath>
        <m:r>
          <w:rPr>
            <w:rFonts w:ascii="Cambria Math" w:hAnsi="Cambria Math" w:cs="Times New Roman"/>
          </w:rPr>
          <m:t xml:space="preserve"> </m:t>
        </m:r>
        <m:sSub>
          <m:sSubPr>
            <m:ctrlPr>
              <w:rPr>
                <w:rFonts w:ascii="Cambria Math" w:hAnsi="Cambria Math" w:cs="Times New Roman"/>
                <w:bCs/>
                <w:i/>
              </w:rPr>
            </m:ctrlPr>
          </m:sSubPr>
          <m:e>
            <m:r>
              <w:rPr>
                <w:rFonts w:ascii="Cambria Math" w:hAnsi="Cambria Math" w:cs="Times New Roman"/>
              </w:rPr>
              <m:t>ε</m:t>
            </m:r>
          </m:e>
          <m:sub>
            <m:r>
              <w:rPr>
                <w:rFonts w:ascii="Cambria Math" w:hAnsi="Cambria Math" w:cs="Times New Roman"/>
              </w:rPr>
              <m:t>it</m:t>
            </m:r>
          </m:sub>
        </m:sSub>
        <m:r>
          <w:rPr>
            <w:rFonts w:ascii="Cambria Math" w:hAnsi="Cambria Math" w:cs="Times New Roman"/>
          </w:rPr>
          <m:t>:E</m:t>
        </m:r>
      </m:oMath>
      <w:r w:rsidR="0024161E" w:rsidRPr="00F07E4B">
        <w:rPr>
          <w:rFonts w:ascii="Times New Roman" w:hAnsi="Times New Roman" w:cs="Times New Roman"/>
        </w:rPr>
        <w:t>rr</w:t>
      </w:r>
      <w:r w:rsidR="0024161E" w:rsidRPr="0024161E">
        <w:rPr>
          <w:rFonts w:ascii="Times New Roman" w:hAnsi="Times New Roman" w:cs="Times New Roman"/>
        </w:rPr>
        <w:t>or term</w:t>
      </w:r>
    </w:p>
    <w:p w:rsidR="0024161E" w:rsidRPr="0024161E" w:rsidRDefault="0024161E" w:rsidP="0024161E">
      <w:pPr>
        <w:jc w:val="both"/>
        <w:rPr>
          <w:rFonts w:ascii="Times New Roman" w:hAnsi="Times New Roman" w:cs="Times New Roman"/>
        </w:rPr>
      </w:pPr>
      <w:r w:rsidRPr="0024161E">
        <w:rPr>
          <w:rFonts w:ascii="Times New Roman" w:hAnsi="Times New Roman" w:cs="Times New Roman"/>
        </w:rPr>
        <w:t>Specific models for each financial inclusion indicator:</w:t>
      </w:r>
    </w:p>
    <w:p w:rsidR="00105A73" w:rsidRPr="00F07E4B" w:rsidRDefault="00105A73" w:rsidP="0024161E">
      <w:pPr>
        <w:jc w:val="both"/>
        <w:rPr>
          <w:rFonts w:ascii="Times New Roman" w:hAnsi="Times New Roman" w:cs="Times New Roman"/>
          <w:bCs/>
        </w:rPr>
      </w:pPr>
      <w:r w:rsidRPr="00F07E4B">
        <w:rPr>
          <w:rFonts w:ascii="Times New Roman" w:hAnsi="Times New Roman" w:cs="Times New Roman"/>
          <w:bCs/>
        </w:rPr>
        <w:t>Model 1: Account Penetration (APR)</w:t>
      </w:r>
    </w:p>
    <w:p w:rsidR="00105A73" w:rsidRPr="00F07E4B" w:rsidRDefault="009452D9" w:rsidP="0024161E">
      <w:pPr>
        <w:jc w:val="both"/>
      </w:pPr>
      <m:oMath>
        <m:sSub>
          <m:sSubPr>
            <m:ctrlPr>
              <w:rPr>
                <w:rFonts w:ascii="Cambria Math" w:hAnsi="Cambria Math" w:cs="Times New Roman"/>
                <w:i/>
              </w:rPr>
            </m:ctrlPr>
          </m:sSubPr>
          <m:e>
            <m:r>
              <w:rPr>
                <w:rFonts w:ascii="Cambria Math" w:hAnsi="Cambria Math" w:cs="Times New Roman"/>
              </w:rPr>
              <m:t>APR</m:t>
            </m:r>
          </m:e>
          <m:sub>
            <m:r>
              <w:rPr>
                <w:rFonts w:ascii="Cambria Math" w:hAnsi="Cambria Math" w:cs="Times New Roman"/>
              </w:rPr>
              <m:t>it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AT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it</m:t>
            </m:r>
          </m:sub>
        </m:sSub>
      </m:oMath>
      <w:r w:rsidR="00105A73" w:rsidRPr="00F07E4B">
        <w:rPr>
          <w:rFonts w:ascii="Times New Roman" w:eastAsiaTheme="minorEastAsia"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AV</m:t>
        </m:r>
        <m:sSub>
          <m:sSubPr>
            <m:ctrlPr>
              <w:rPr>
                <w:rFonts w:ascii="Cambria Math" w:hAnsi="Cambria Math" w:cs="Times New Roman"/>
                <w:i/>
              </w:rPr>
            </m:ctrlPr>
          </m:sSubPr>
          <m:e>
            <m:r>
              <w:rPr>
                <w:rFonts w:ascii="Cambria Math" w:hAnsi="Cambria Math" w:cs="Times New Roman"/>
              </w:rPr>
              <m:t>AL</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PT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4</m:t>
            </m:r>
          </m:sub>
        </m:sSub>
        <m:r>
          <w:rPr>
            <w:rFonts w:ascii="Cambria Math" w:hAnsi="Cambria Math" w:cs="Times New Roman"/>
          </w:rPr>
          <m:t xml:space="preserve">PV </m:t>
        </m:r>
        <m:sSub>
          <m:sSubPr>
            <m:ctrlPr>
              <w:rPr>
                <w:rFonts w:ascii="Cambria Math" w:hAnsi="Cambria Math" w:cs="Times New Roman"/>
                <w:i/>
              </w:rPr>
            </m:ctrlPr>
          </m:sSubPr>
          <m:e>
            <m:r>
              <w:rPr>
                <w:rFonts w:ascii="Cambria Math" w:hAnsi="Cambria Math" w:cs="Times New Roman"/>
              </w:rPr>
              <m:t>AL</m:t>
            </m:r>
          </m:e>
          <m:sub>
            <m:r>
              <w:rPr>
                <w:rFonts w:ascii="Cambria Math" w:hAnsi="Cambria Math" w:cs="Times New Roman"/>
              </w:rPr>
              <m:t>it</m:t>
            </m:r>
          </m:sub>
        </m:sSub>
      </m:oMath>
      <w:r w:rsidR="00105A73" w:rsidRPr="00F07E4B">
        <w:rPr>
          <w:rFonts w:ascii="Times New Roman" w:eastAsiaTheme="minorEastAsia" w:hAnsi="Times New Roman" w:cs="Times New Roman"/>
        </w:rPr>
        <w:t xml:space="preserve"> </w:t>
      </w:r>
      <m:oMath>
        <m:r>
          <w:rPr>
            <w:rFonts w:ascii="Cambria Math" w:hAnsi="Cambria Math" w:cs="Times New Roman"/>
          </w:rPr>
          <m:t>+</m:t>
        </m:r>
        <m:sSub>
          <m:sSubPr>
            <m:ctrlPr>
              <w:rPr>
                <w:rFonts w:ascii="Cambria Math" w:hAnsi="Cambria Math"/>
              </w:rPr>
            </m:ctrlPr>
          </m:sSubPr>
          <m:e>
            <m:r>
              <w:rPr>
                <w:rFonts w:ascii="Cambria Math" w:hAnsi="Cambria Math"/>
              </w:rPr>
              <m:t>μ</m:t>
            </m:r>
          </m:e>
          <m:sub>
            <m:r>
              <w:rPr>
                <w:rFonts w:ascii="Cambria Math" w:hAnsi="Cambria Math"/>
              </w:rPr>
              <m:t>it</m:t>
            </m:r>
          </m:sub>
        </m:sSub>
        <m: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it</m:t>
            </m:r>
          </m:sub>
        </m:sSub>
        <m:r>
          <w:rPr>
            <w:rFonts w:ascii="Cambria Math" w:hAnsi="Cambria Math"/>
          </w:rPr>
          <m:t xml:space="preserve"> </m:t>
        </m:r>
      </m:oMath>
      <w:r w:rsidR="00D30054" w:rsidRPr="00F07E4B">
        <w:t xml:space="preserve"> </w:t>
      </w:r>
    </w:p>
    <w:p w:rsidR="00AC2798" w:rsidRPr="00F07E4B" w:rsidRDefault="00AC2798" w:rsidP="0024161E">
      <w:pPr>
        <w:jc w:val="both"/>
        <w:rPr>
          <w:rFonts w:ascii="Times New Roman" w:hAnsi="Times New Roman" w:cs="Times New Roman"/>
        </w:rPr>
      </w:pPr>
      <w:r w:rsidRPr="00F07E4B">
        <w:rPr>
          <w:rFonts w:ascii="Times New Roman" w:hAnsi="Times New Roman" w:cs="Times New Roman"/>
          <w:bCs/>
        </w:rPr>
        <w:t>Model 2: Usage Frequency (UFI)</w:t>
      </w:r>
      <w:r w:rsidR="0024161E" w:rsidRPr="00F07E4B">
        <w:rPr>
          <w:rFonts w:ascii="Times New Roman" w:hAnsi="Times New Roman" w:cs="Times New Roman"/>
        </w:rPr>
        <w:t xml:space="preserve"> </w:t>
      </w:r>
    </w:p>
    <w:p w:rsidR="00AC2798" w:rsidRPr="00F07E4B" w:rsidRDefault="009452D9" w:rsidP="0024161E">
      <w:pPr>
        <w:jc w:val="both"/>
      </w:pPr>
      <m:oMath>
        <m:sSub>
          <m:sSubPr>
            <m:ctrlPr>
              <w:rPr>
                <w:rFonts w:ascii="Cambria Math" w:hAnsi="Cambria Math" w:cs="Times New Roman"/>
                <w:i/>
              </w:rPr>
            </m:ctrlPr>
          </m:sSubPr>
          <m:e>
            <m:r>
              <w:rPr>
                <w:rFonts w:ascii="Cambria Math" w:hAnsi="Cambria Math" w:cs="Times New Roman"/>
              </w:rPr>
              <m:t>UFI</m:t>
            </m:r>
          </m:e>
          <m:sub>
            <m:r>
              <w:rPr>
                <w:rFonts w:ascii="Cambria Math" w:hAnsi="Cambria Math" w:cs="Times New Roman"/>
              </w:rPr>
              <m:t>it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AT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it</m:t>
            </m:r>
          </m:sub>
        </m:sSub>
      </m:oMath>
      <w:r w:rsidR="00AC2798" w:rsidRPr="00F07E4B">
        <w:rPr>
          <w:rFonts w:ascii="Times New Roman" w:eastAsiaTheme="minorEastAsia"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AV</m:t>
        </m:r>
        <m:sSub>
          <m:sSubPr>
            <m:ctrlPr>
              <w:rPr>
                <w:rFonts w:ascii="Cambria Math" w:hAnsi="Cambria Math" w:cs="Times New Roman"/>
                <w:i/>
              </w:rPr>
            </m:ctrlPr>
          </m:sSubPr>
          <m:e>
            <m:r>
              <w:rPr>
                <w:rFonts w:ascii="Cambria Math" w:hAnsi="Cambria Math" w:cs="Times New Roman"/>
              </w:rPr>
              <m:t>AL</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PT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4</m:t>
            </m:r>
          </m:sub>
        </m:sSub>
        <m:r>
          <w:rPr>
            <w:rFonts w:ascii="Cambria Math" w:hAnsi="Cambria Math" w:cs="Times New Roman"/>
          </w:rPr>
          <m:t xml:space="preserve">PV </m:t>
        </m:r>
        <m:sSub>
          <m:sSubPr>
            <m:ctrlPr>
              <w:rPr>
                <w:rFonts w:ascii="Cambria Math" w:hAnsi="Cambria Math" w:cs="Times New Roman"/>
                <w:i/>
              </w:rPr>
            </m:ctrlPr>
          </m:sSubPr>
          <m:e>
            <m:r>
              <w:rPr>
                <w:rFonts w:ascii="Cambria Math" w:hAnsi="Cambria Math" w:cs="Times New Roman"/>
              </w:rPr>
              <m:t>AL</m:t>
            </m:r>
          </m:e>
          <m:sub>
            <m:r>
              <w:rPr>
                <w:rFonts w:ascii="Cambria Math" w:hAnsi="Cambria Math" w:cs="Times New Roman"/>
              </w:rPr>
              <m:t>it</m:t>
            </m:r>
          </m:sub>
        </m:sSub>
        <m:r>
          <w:rPr>
            <w:rFonts w:ascii="Cambria Math" w:hAnsi="Cambria Math" w:cs="Times New Roman"/>
          </w:rPr>
          <m:t>+</m:t>
        </m:r>
        <m:sSub>
          <m:sSubPr>
            <m:ctrlPr>
              <w:rPr>
                <w:rFonts w:ascii="Cambria Math" w:hAnsi="Cambria Math"/>
              </w:rPr>
            </m:ctrlPr>
          </m:sSubPr>
          <m:e>
            <m:r>
              <w:rPr>
                <w:rFonts w:ascii="Cambria Math" w:hAnsi="Cambria Math"/>
              </w:rPr>
              <m:t>μ</m:t>
            </m:r>
          </m:e>
          <m:sub>
            <m:r>
              <w:rPr>
                <w:rFonts w:ascii="Cambria Math" w:hAnsi="Cambria Math"/>
              </w:rPr>
              <m:t>it</m:t>
            </m:r>
          </m:sub>
        </m:sSub>
        <m: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it</m:t>
            </m:r>
          </m:sub>
        </m:sSub>
        <m:r>
          <w:rPr>
            <w:rFonts w:ascii="Cambria Math" w:hAnsi="Cambria Math"/>
          </w:rPr>
          <m:t xml:space="preserve"> </m:t>
        </m:r>
      </m:oMath>
      <w:r w:rsidR="00D30054" w:rsidRPr="00F07E4B">
        <w:t xml:space="preserve"> </w:t>
      </w:r>
    </w:p>
    <w:p w:rsidR="00AC2798" w:rsidRPr="00F07E4B" w:rsidRDefault="00AC2798" w:rsidP="0024161E">
      <w:pPr>
        <w:jc w:val="both"/>
        <w:rPr>
          <w:rFonts w:ascii="Times New Roman" w:hAnsi="Times New Roman" w:cs="Times New Roman"/>
          <w:bCs/>
        </w:rPr>
      </w:pPr>
      <w:r w:rsidRPr="00F07E4B">
        <w:rPr>
          <w:rFonts w:ascii="Times New Roman" w:hAnsi="Times New Roman" w:cs="Times New Roman"/>
          <w:bCs/>
        </w:rPr>
        <w:t>Model 3: Geographic Reach (GRI)</w:t>
      </w:r>
    </w:p>
    <w:p w:rsidR="00AC2798" w:rsidRPr="00F07E4B" w:rsidRDefault="009452D9" w:rsidP="0024161E">
      <w:pPr>
        <w:jc w:val="both"/>
      </w:pPr>
      <m:oMath>
        <m:sSub>
          <m:sSubPr>
            <m:ctrlPr>
              <w:rPr>
                <w:rFonts w:ascii="Cambria Math" w:hAnsi="Cambria Math" w:cs="Times New Roman"/>
                <w:i/>
              </w:rPr>
            </m:ctrlPr>
          </m:sSubPr>
          <m:e>
            <m:r>
              <w:rPr>
                <w:rFonts w:ascii="Cambria Math" w:hAnsi="Cambria Math" w:cs="Times New Roman"/>
              </w:rPr>
              <m:t>GR</m:t>
            </m:r>
            <m:r>
              <w:rPr>
                <w:rFonts w:ascii="Cambria Math" w:hAnsi="Cambria Math" w:cs="Times New Roman"/>
              </w:rPr>
              <m:t>I</m:t>
            </m:r>
          </m:e>
          <m:sub>
            <m:r>
              <w:rPr>
                <w:rFonts w:ascii="Cambria Math" w:hAnsi="Cambria Math" w:cs="Times New Roman"/>
              </w:rPr>
              <m:t>it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AT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it</m:t>
            </m:r>
          </m:sub>
        </m:sSub>
      </m:oMath>
      <w:r w:rsidR="00AC2798" w:rsidRPr="00F07E4B">
        <w:rPr>
          <w:rFonts w:ascii="Times New Roman" w:eastAsiaTheme="minorEastAsia"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AV</m:t>
        </m:r>
        <m:sSub>
          <m:sSubPr>
            <m:ctrlPr>
              <w:rPr>
                <w:rFonts w:ascii="Cambria Math" w:hAnsi="Cambria Math" w:cs="Times New Roman"/>
                <w:i/>
              </w:rPr>
            </m:ctrlPr>
          </m:sSubPr>
          <m:e>
            <m:r>
              <w:rPr>
                <w:rFonts w:ascii="Cambria Math" w:hAnsi="Cambria Math" w:cs="Times New Roman"/>
              </w:rPr>
              <m:t>AL</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PT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4</m:t>
            </m:r>
          </m:sub>
        </m:sSub>
        <m:r>
          <w:rPr>
            <w:rFonts w:ascii="Cambria Math" w:hAnsi="Cambria Math" w:cs="Times New Roman"/>
          </w:rPr>
          <m:t xml:space="preserve">PV </m:t>
        </m:r>
        <m:sSub>
          <m:sSubPr>
            <m:ctrlPr>
              <w:rPr>
                <w:rFonts w:ascii="Cambria Math" w:hAnsi="Cambria Math" w:cs="Times New Roman"/>
                <w:i/>
              </w:rPr>
            </m:ctrlPr>
          </m:sSubPr>
          <m:e>
            <m:r>
              <w:rPr>
                <w:rFonts w:ascii="Cambria Math" w:hAnsi="Cambria Math" w:cs="Times New Roman"/>
              </w:rPr>
              <m:t>AL</m:t>
            </m:r>
          </m:e>
          <m:sub>
            <m:r>
              <w:rPr>
                <w:rFonts w:ascii="Cambria Math" w:hAnsi="Cambria Math" w:cs="Times New Roman"/>
              </w:rPr>
              <m:t>it</m:t>
            </m:r>
          </m:sub>
        </m:sSub>
        <m:r>
          <w:rPr>
            <w:rFonts w:ascii="Cambria Math" w:hAnsi="Cambria Math" w:cs="Times New Roman"/>
          </w:rPr>
          <m:t>+</m:t>
        </m:r>
        <m:sSub>
          <m:sSubPr>
            <m:ctrlPr>
              <w:rPr>
                <w:rFonts w:ascii="Cambria Math" w:hAnsi="Cambria Math"/>
              </w:rPr>
            </m:ctrlPr>
          </m:sSubPr>
          <m:e>
            <m:r>
              <w:rPr>
                <w:rFonts w:ascii="Cambria Math" w:hAnsi="Cambria Math"/>
              </w:rPr>
              <m:t>μ</m:t>
            </m:r>
          </m:e>
          <m:sub>
            <m:r>
              <w:rPr>
                <w:rFonts w:ascii="Cambria Math" w:hAnsi="Cambria Math"/>
              </w:rPr>
              <m:t>it</m:t>
            </m:r>
          </m:sub>
        </m:sSub>
        <m: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it</m:t>
            </m:r>
          </m:sub>
        </m:sSub>
        <m:r>
          <w:rPr>
            <w:rFonts w:ascii="Cambria Math" w:hAnsi="Cambria Math"/>
          </w:rPr>
          <m:t xml:space="preserve"> </m:t>
        </m:r>
      </m:oMath>
      <w:r w:rsidR="00D30054" w:rsidRPr="00F07E4B">
        <w:t xml:space="preserve"> </w:t>
      </w:r>
    </w:p>
    <w:p w:rsidR="0024161E" w:rsidRPr="00F07E4B" w:rsidRDefault="0024161E" w:rsidP="0024161E">
      <w:pPr>
        <w:jc w:val="both"/>
        <w:rPr>
          <w:rFonts w:ascii="Times New Roman" w:hAnsi="Times New Roman" w:cs="Times New Roman"/>
          <w:bCs/>
        </w:rPr>
      </w:pPr>
      <w:r w:rsidRPr="00F07E4B">
        <w:rPr>
          <w:rFonts w:ascii="Times New Roman" w:hAnsi="Times New Roman" w:cs="Times New Roman"/>
          <w:bCs/>
        </w:rPr>
        <w:lastRenderedPageBreak/>
        <w:t>Ethical Considerations</w:t>
      </w:r>
    </w:p>
    <w:p w:rsidR="000807CB" w:rsidRPr="000807CB" w:rsidRDefault="000807CB" w:rsidP="000807CB">
      <w:pPr>
        <w:jc w:val="both"/>
        <w:rPr>
          <w:rFonts w:ascii="Times New Roman" w:hAnsi="Times New Roman" w:cs="Times New Roman"/>
        </w:rPr>
      </w:pPr>
      <w:r w:rsidRPr="000807CB">
        <w:rPr>
          <w:rFonts w:ascii="Times New Roman" w:hAnsi="Times New Roman" w:cs="Times New Roman"/>
        </w:rPr>
        <w:t>Concerns regarding participant consent and privacy are resolved because the study only uses secondary data that is publically available. The research complies with academic integrity requirements and appropriately acknowledges all data sources. While recognizing the limitations and any biases in the data sources, the results will be presented fairly.</w:t>
      </w:r>
    </w:p>
    <w:p w:rsidR="00F07E4B" w:rsidRDefault="00F07E4B" w:rsidP="00F07E4B">
      <w:pPr>
        <w:rPr>
          <w:rFonts w:ascii="Times New Roman" w:hAnsi="Times New Roman" w:cs="Times New Roman"/>
          <w:b/>
          <w:bCs/>
        </w:rPr>
      </w:pPr>
    </w:p>
    <w:p w:rsidR="00DE7272" w:rsidRDefault="00DE7272" w:rsidP="00F07E4B">
      <w:pPr>
        <w:rPr>
          <w:rFonts w:ascii="Times New Roman" w:hAnsi="Times New Roman" w:cs="Times New Roman"/>
          <w:b/>
          <w:bCs/>
        </w:rPr>
      </w:pPr>
    </w:p>
    <w:p w:rsidR="00DE7272" w:rsidRDefault="00DE7272" w:rsidP="00F07E4B">
      <w:pPr>
        <w:rPr>
          <w:rFonts w:ascii="Times New Roman" w:hAnsi="Times New Roman" w:cs="Times New Roman"/>
          <w:b/>
          <w:bCs/>
        </w:rPr>
      </w:pPr>
    </w:p>
    <w:p w:rsidR="00DE7272" w:rsidRDefault="00DE7272" w:rsidP="00F07E4B">
      <w:pPr>
        <w:rPr>
          <w:rFonts w:ascii="Times New Roman" w:hAnsi="Times New Roman" w:cs="Times New Roman"/>
          <w:b/>
          <w:bCs/>
        </w:rPr>
      </w:pPr>
    </w:p>
    <w:p w:rsidR="00DE7272" w:rsidRDefault="00DE7272" w:rsidP="00F07E4B">
      <w:pPr>
        <w:rPr>
          <w:rFonts w:ascii="Times New Roman" w:hAnsi="Times New Roman" w:cs="Times New Roman"/>
          <w:b/>
          <w:bCs/>
        </w:rPr>
      </w:pPr>
    </w:p>
    <w:p w:rsidR="00086680" w:rsidRPr="00086680" w:rsidRDefault="00086680" w:rsidP="00F07E4B">
      <w:pPr>
        <w:rPr>
          <w:rFonts w:ascii="Times New Roman" w:hAnsi="Times New Roman" w:cs="Times New Roman"/>
          <w:b/>
          <w:bCs/>
        </w:rPr>
      </w:pPr>
      <w:r w:rsidRPr="00086680">
        <w:rPr>
          <w:rFonts w:ascii="Times New Roman" w:hAnsi="Times New Roman" w:cs="Times New Roman"/>
          <w:b/>
          <w:bCs/>
        </w:rPr>
        <w:t>DATA ANALYSIS</w:t>
      </w:r>
    </w:p>
    <w:p w:rsidR="00086680" w:rsidRPr="00086680" w:rsidRDefault="00086680" w:rsidP="00086680">
      <w:pPr>
        <w:jc w:val="both"/>
        <w:rPr>
          <w:rFonts w:ascii="Times New Roman" w:hAnsi="Times New Roman" w:cs="Times New Roman"/>
          <w:b/>
          <w:bCs/>
        </w:rPr>
      </w:pPr>
      <w:r w:rsidRPr="00086680">
        <w:rPr>
          <w:rFonts w:ascii="Times New Roman" w:hAnsi="Times New Roman" w:cs="Times New Roman"/>
          <w:b/>
          <w:bCs/>
        </w:rPr>
        <w:t>Descriptive Statistics</w:t>
      </w:r>
    </w:p>
    <w:p w:rsidR="00086680" w:rsidRPr="00086680" w:rsidRDefault="00935A16" w:rsidP="00086680">
      <w:pPr>
        <w:jc w:val="both"/>
        <w:rPr>
          <w:rFonts w:ascii="Times New Roman" w:hAnsi="Times New Roman" w:cs="Times New Roman"/>
          <w:b/>
          <w:bCs/>
        </w:rPr>
      </w:pPr>
      <w:r w:rsidRPr="00935A16">
        <w:rPr>
          <w:rFonts w:ascii="Times New Roman" w:hAnsi="Times New Roman" w:cs="Times New Roman"/>
          <w:b/>
          <w:bCs/>
        </w:rPr>
        <w:t>Table 4.1: Summary Sta</w:t>
      </w:r>
      <w:r>
        <w:rPr>
          <w:rFonts w:ascii="Times New Roman" w:hAnsi="Times New Roman" w:cs="Times New Roman"/>
          <w:b/>
          <w:bCs/>
        </w:rPr>
        <w:t>t</w:t>
      </w:r>
      <w:r w:rsidR="00245ECD">
        <w:rPr>
          <w:rFonts w:ascii="Times New Roman" w:hAnsi="Times New Roman" w:cs="Times New Roman"/>
          <w:b/>
          <w:bCs/>
        </w:rPr>
        <w:t>istics of Variables (2019-2024</w:t>
      </w:r>
      <w:r w:rsidRPr="00935A16">
        <w:rPr>
          <w:rFonts w:ascii="Times New Roman" w:hAnsi="Times New Roman" w:cs="Times New Roman"/>
          <w:b/>
          <w:bC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5"/>
        <w:gridCol w:w="810"/>
        <w:gridCol w:w="1080"/>
        <w:gridCol w:w="1170"/>
        <w:gridCol w:w="1170"/>
        <w:gridCol w:w="1260"/>
      </w:tblGrid>
      <w:tr w:rsidR="001C0B94" w:rsidRPr="00086680" w:rsidTr="001C0B94">
        <w:trPr>
          <w:tblHeader/>
          <w:tblCellSpacing w:w="15" w:type="dxa"/>
        </w:trPr>
        <w:tc>
          <w:tcPr>
            <w:tcW w:w="3340" w:type="dxa"/>
            <w:vAlign w:val="center"/>
            <w:hideMark/>
          </w:tcPr>
          <w:p w:rsidR="00086680" w:rsidRPr="00086680" w:rsidRDefault="00086680" w:rsidP="001C0B94">
            <w:pPr>
              <w:ind w:left="720" w:hanging="720"/>
              <w:jc w:val="both"/>
              <w:rPr>
                <w:rFonts w:ascii="Times New Roman" w:hAnsi="Times New Roman" w:cs="Times New Roman"/>
                <w:b/>
                <w:bCs/>
              </w:rPr>
            </w:pPr>
            <w:r w:rsidRPr="00086680">
              <w:rPr>
                <w:rFonts w:ascii="Times New Roman" w:hAnsi="Times New Roman" w:cs="Times New Roman"/>
                <w:b/>
                <w:bCs/>
              </w:rPr>
              <w:t>Variables</w:t>
            </w:r>
          </w:p>
        </w:tc>
        <w:tc>
          <w:tcPr>
            <w:tcW w:w="780" w:type="dxa"/>
            <w:vAlign w:val="center"/>
            <w:hideMark/>
          </w:tcPr>
          <w:p w:rsidR="00086680" w:rsidRPr="00086680" w:rsidRDefault="00086680" w:rsidP="001C0B94">
            <w:pPr>
              <w:ind w:left="720" w:hanging="720"/>
              <w:jc w:val="both"/>
              <w:rPr>
                <w:rFonts w:ascii="Times New Roman" w:hAnsi="Times New Roman" w:cs="Times New Roman"/>
                <w:b/>
                <w:bCs/>
              </w:rPr>
            </w:pPr>
            <w:r w:rsidRPr="00086680">
              <w:rPr>
                <w:rFonts w:ascii="Times New Roman" w:hAnsi="Times New Roman" w:cs="Times New Roman"/>
                <w:b/>
                <w:bCs/>
              </w:rPr>
              <w:t>N</w:t>
            </w:r>
          </w:p>
        </w:tc>
        <w:tc>
          <w:tcPr>
            <w:tcW w:w="1050" w:type="dxa"/>
            <w:vAlign w:val="center"/>
            <w:hideMark/>
          </w:tcPr>
          <w:p w:rsidR="00086680" w:rsidRPr="00086680" w:rsidRDefault="00086680" w:rsidP="001C0B94">
            <w:pPr>
              <w:ind w:left="720" w:hanging="720"/>
              <w:jc w:val="both"/>
              <w:rPr>
                <w:rFonts w:ascii="Times New Roman" w:hAnsi="Times New Roman" w:cs="Times New Roman"/>
                <w:b/>
                <w:bCs/>
              </w:rPr>
            </w:pPr>
            <w:r w:rsidRPr="00086680">
              <w:rPr>
                <w:rFonts w:ascii="Times New Roman" w:hAnsi="Times New Roman" w:cs="Times New Roman"/>
                <w:b/>
                <w:bCs/>
              </w:rPr>
              <w:t>Mean</w:t>
            </w:r>
          </w:p>
        </w:tc>
        <w:tc>
          <w:tcPr>
            <w:tcW w:w="1140" w:type="dxa"/>
            <w:vAlign w:val="center"/>
            <w:hideMark/>
          </w:tcPr>
          <w:p w:rsidR="00086680" w:rsidRPr="00086680" w:rsidRDefault="00086680" w:rsidP="001C0B94">
            <w:pPr>
              <w:ind w:left="720" w:hanging="720"/>
              <w:jc w:val="both"/>
              <w:rPr>
                <w:rFonts w:ascii="Times New Roman" w:hAnsi="Times New Roman" w:cs="Times New Roman"/>
                <w:b/>
                <w:bCs/>
              </w:rPr>
            </w:pPr>
            <w:r w:rsidRPr="00086680">
              <w:rPr>
                <w:rFonts w:ascii="Times New Roman" w:hAnsi="Times New Roman" w:cs="Times New Roman"/>
                <w:b/>
                <w:bCs/>
              </w:rPr>
              <w:t>Std. Dev.</w:t>
            </w:r>
          </w:p>
        </w:tc>
        <w:tc>
          <w:tcPr>
            <w:tcW w:w="1140" w:type="dxa"/>
            <w:vAlign w:val="center"/>
            <w:hideMark/>
          </w:tcPr>
          <w:p w:rsidR="00086680" w:rsidRPr="00086680" w:rsidRDefault="00086680" w:rsidP="001C0B94">
            <w:pPr>
              <w:ind w:left="720" w:hanging="720"/>
              <w:jc w:val="both"/>
              <w:rPr>
                <w:rFonts w:ascii="Times New Roman" w:hAnsi="Times New Roman" w:cs="Times New Roman"/>
                <w:b/>
                <w:bCs/>
              </w:rPr>
            </w:pPr>
            <w:r w:rsidRPr="00086680">
              <w:rPr>
                <w:rFonts w:ascii="Times New Roman" w:hAnsi="Times New Roman" w:cs="Times New Roman"/>
                <w:b/>
                <w:bCs/>
              </w:rPr>
              <w:t>Min</w:t>
            </w:r>
          </w:p>
        </w:tc>
        <w:tc>
          <w:tcPr>
            <w:tcW w:w="1215" w:type="dxa"/>
            <w:vAlign w:val="center"/>
            <w:hideMark/>
          </w:tcPr>
          <w:p w:rsidR="00086680" w:rsidRPr="00086680" w:rsidRDefault="00086680" w:rsidP="001C0B94">
            <w:pPr>
              <w:ind w:left="720" w:hanging="720"/>
              <w:jc w:val="both"/>
              <w:rPr>
                <w:rFonts w:ascii="Times New Roman" w:hAnsi="Times New Roman" w:cs="Times New Roman"/>
                <w:b/>
                <w:bCs/>
              </w:rPr>
            </w:pPr>
            <w:r w:rsidRPr="00086680">
              <w:rPr>
                <w:rFonts w:ascii="Times New Roman" w:hAnsi="Times New Roman" w:cs="Times New Roman"/>
                <w:b/>
                <w:bCs/>
              </w:rPr>
              <w:t>Max</w:t>
            </w:r>
          </w:p>
        </w:tc>
      </w:tr>
      <w:tr w:rsidR="001C0B94" w:rsidRPr="00086680" w:rsidTr="001C0B94">
        <w:trPr>
          <w:tblCellSpacing w:w="15" w:type="dxa"/>
        </w:trPr>
        <w:tc>
          <w:tcPr>
            <w:tcW w:w="334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Account Penetration Rate (%)</w:t>
            </w:r>
          </w:p>
        </w:tc>
        <w:tc>
          <w:tcPr>
            <w:tcW w:w="78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110</w:t>
            </w:r>
          </w:p>
        </w:tc>
        <w:tc>
          <w:tcPr>
            <w:tcW w:w="105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45.6</w:t>
            </w:r>
          </w:p>
        </w:tc>
        <w:tc>
          <w:tcPr>
            <w:tcW w:w="114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12.8</w:t>
            </w:r>
          </w:p>
        </w:tc>
        <w:tc>
          <w:tcPr>
            <w:tcW w:w="114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18.2</w:t>
            </w:r>
          </w:p>
        </w:tc>
        <w:tc>
          <w:tcPr>
            <w:tcW w:w="1215"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67.4</w:t>
            </w:r>
          </w:p>
        </w:tc>
      </w:tr>
      <w:tr w:rsidR="001C0B94" w:rsidRPr="00086680" w:rsidTr="001C0B94">
        <w:trPr>
          <w:tblCellSpacing w:w="15" w:type="dxa"/>
        </w:trPr>
        <w:tc>
          <w:tcPr>
            <w:tcW w:w="334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ATM Transaction Volume (000s)</w:t>
            </w:r>
          </w:p>
        </w:tc>
        <w:tc>
          <w:tcPr>
            <w:tcW w:w="78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110</w:t>
            </w:r>
          </w:p>
        </w:tc>
        <w:tc>
          <w:tcPr>
            <w:tcW w:w="105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2,847</w:t>
            </w:r>
          </w:p>
        </w:tc>
        <w:tc>
          <w:tcPr>
            <w:tcW w:w="114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3,421</w:t>
            </w:r>
          </w:p>
        </w:tc>
        <w:tc>
          <w:tcPr>
            <w:tcW w:w="114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156</w:t>
            </w:r>
          </w:p>
        </w:tc>
        <w:tc>
          <w:tcPr>
            <w:tcW w:w="1215"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15,678</w:t>
            </w:r>
          </w:p>
        </w:tc>
      </w:tr>
      <w:tr w:rsidR="001C0B94" w:rsidRPr="00086680" w:rsidTr="001C0B94">
        <w:trPr>
          <w:tblCellSpacing w:w="15" w:type="dxa"/>
        </w:trPr>
        <w:tc>
          <w:tcPr>
            <w:tcW w:w="334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ATM Transaction Value (₦bn)</w:t>
            </w:r>
          </w:p>
        </w:tc>
        <w:tc>
          <w:tcPr>
            <w:tcW w:w="78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110</w:t>
            </w:r>
          </w:p>
        </w:tc>
        <w:tc>
          <w:tcPr>
            <w:tcW w:w="105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45.2</w:t>
            </w:r>
          </w:p>
        </w:tc>
        <w:tc>
          <w:tcPr>
            <w:tcW w:w="114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67.8</w:t>
            </w:r>
          </w:p>
        </w:tc>
        <w:tc>
          <w:tcPr>
            <w:tcW w:w="114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2.1</w:t>
            </w:r>
          </w:p>
        </w:tc>
        <w:tc>
          <w:tcPr>
            <w:tcW w:w="1215"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287.4</w:t>
            </w:r>
          </w:p>
        </w:tc>
      </w:tr>
      <w:tr w:rsidR="001C0B94" w:rsidRPr="00086680" w:rsidTr="001C0B94">
        <w:trPr>
          <w:tblCellSpacing w:w="15" w:type="dxa"/>
        </w:trPr>
        <w:tc>
          <w:tcPr>
            <w:tcW w:w="334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POS Transaction Volume (000s)</w:t>
            </w:r>
          </w:p>
        </w:tc>
        <w:tc>
          <w:tcPr>
            <w:tcW w:w="78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110</w:t>
            </w:r>
          </w:p>
        </w:tc>
        <w:tc>
          <w:tcPr>
            <w:tcW w:w="105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1,234</w:t>
            </w:r>
          </w:p>
        </w:tc>
        <w:tc>
          <w:tcPr>
            <w:tcW w:w="114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2,156</w:t>
            </w:r>
          </w:p>
        </w:tc>
        <w:tc>
          <w:tcPr>
            <w:tcW w:w="114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89</w:t>
            </w:r>
          </w:p>
        </w:tc>
        <w:tc>
          <w:tcPr>
            <w:tcW w:w="1215"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9,876</w:t>
            </w:r>
          </w:p>
        </w:tc>
      </w:tr>
      <w:tr w:rsidR="001C0B94" w:rsidRPr="00086680" w:rsidTr="001C0B94">
        <w:trPr>
          <w:tblCellSpacing w:w="15" w:type="dxa"/>
        </w:trPr>
        <w:tc>
          <w:tcPr>
            <w:tcW w:w="334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POS Transaction Value (₦bn)</w:t>
            </w:r>
          </w:p>
        </w:tc>
        <w:tc>
          <w:tcPr>
            <w:tcW w:w="78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110</w:t>
            </w:r>
          </w:p>
        </w:tc>
        <w:tc>
          <w:tcPr>
            <w:tcW w:w="105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18.7</w:t>
            </w:r>
          </w:p>
        </w:tc>
        <w:tc>
          <w:tcPr>
            <w:tcW w:w="114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28.9</w:t>
            </w:r>
          </w:p>
        </w:tc>
        <w:tc>
          <w:tcPr>
            <w:tcW w:w="1140"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1.2</w:t>
            </w:r>
          </w:p>
        </w:tc>
        <w:tc>
          <w:tcPr>
            <w:tcW w:w="1215" w:type="dxa"/>
            <w:vAlign w:val="center"/>
            <w:hideMark/>
          </w:tcPr>
          <w:p w:rsidR="00086680" w:rsidRPr="00086680" w:rsidRDefault="00086680" w:rsidP="001C0B94">
            <w:pPr>
              <w:ind w:left="720" w:hanging="720"/>
              <w:jc w:val="both"/>
              <w:rPr>
                <w:rFonts w:ascii="Times New Roman" w:hAnsi="Times New Roman" w:cs="Times New Roman"/>
              </w:rPr>
            </w:pPr>
            <w:r w:rsidRPr="00086680">
              <w:rPr>
                <w:rFonts w:ascii="Times New Roman" w:hAnsi="Times New Roman" w:cs="Times New Roman"/>
              </w:rPr>
              <w:t>134.6</w:t>
            </w:r>
          </w:p>
        </w:tc>
      </w:tr>
    </w:tbl>
    <w:p w:rsidR="00B25280" w:rsidRDefault="00B25280" w:rsidP="00086680">
      <w:pPr>
        <w:jc w:val="both"/>
        <w:rPr>
          <w:rFonts w:ascii="Times New Roman" w:hAnsi="Times New Roman" w:cs="Times New Roman"/>
        </w:rPr>
      </w:pPr>
      <w:r w:rsidRPr="00086680">
        <w:rPr>
          <w:rFonts w:ascii="Times New Roman" w:hAnsi="Times New Roman" w:cs="Times New Roman"/>
          <w:b/>
          <w:bCs/>
          <w:i/>
          <w:iCs/>
          <w:sz w:val="20"/>
          <w:szCs w:val="20"/>
        </w:rPr>
        <w:t>Table 4.1: Summary St</w:t>
      </w:r>
      <w:r w:rsidRPr="00B25280">
        <w:rPr>
          <w:rFonts w:ascii="Times New Roman" w:hAnsi="Times New Roman" w:cs="Times New Roman"/>
          <w:b/>
          <w:bCs/>
          <w:i/>
          <w:iCs/>
          <w:sz w:val="20"/>
          <w:szCs w:val="20"/>
        </w:rPr>
        <w:t>a</w:t>
      </w:r>
      <w:r w:rsidR="00935A16">
        <w:rPr>
          <w:rFonts w:ascii="Times New Roman" w:hAnsi="Times New Roman" w:cs="Times New Roman"/>
          <w:b/>
          <w:bCs/>
          <w:i/>
          <w:iCs/>
          <w:sz w:val="20"/>
          <w:szCs w:val="20"/>
        </w:rPr>
        <w:t>t</w:t>
      </w:r>
      <w:r w:rsidRPr="00086680">
        <w:rPr>
          <w:rFonts w:ascii="Times New Roman" w:hAnsi="Times New Roman" w:cs="Times New Roman"/>
          <w:b/>
          <w:bCs/>
          <w:i/>
          <w:iCs/>
          <w:sz w:val="20"/>
          <w:szCs w:val="20"/>
        </w:rPr>
        <w:t>istics of Variables (2019-202</w:t>
      </w:r>
      <w:r w:rsidR="00BD571E">
        <w:rPr>
          <w:rFonts w:ascii="Times New Roman" w:hAnsi="Times New Roman" w:cs="Times New Roman"/>
          <w:b/>
          <w:bCs/>
          <w:i/>
          <w:iCs/>
          <w:sz w:val="20"/>
          <w:szCs w:val="20"/>
        </w:rPr>
        <w:t>4</w:t>
      </w:r>
      <w:r w:rsidRPr="00086680">
        <w:rPr>
          <w:rFonts w:ascii="Times New Roman" w:hAnsi="Times New Roman" w:cs="Times New Roman"/>
          <w:b/>
          <w:bCs/>
          <w:i/>
          <w:iCs/>
          <w:sz w:val="20"/>
          <w:szCs w:val="20"/>
        </w:rPr>
        <w:t>)</w:t>
      </w:r>
    </w:p>
    <w:p w:rsidR="00086680" w:rsidRDefault="00387B72" w:rsidP="00B25280">
      <w:pPr>
        <w:jc w:val="both"/>
        <w:rPr>
          <w:rFonts w:ascii="Times New Roman" w:hAnsi="Times New Roman" w:cs="Times New Roman"/>
        </w:rPr>
      </w:pPr>
      <w:r w:rsidRPr="00387B72">
        <w:rPr>
          <w:rFonts w:ascii="Times New Roman" w:hAnsi="Times New Roman" w:cs="Times New Roman"/>
        </w:rPr>
        <w:t>The analysis of Table 4.1 shows significant variation in account penetration rates and electronic banking activities across Nigerian deposit money banks between 2019 and 2024. Differences in ATM and POS transaction volumes and values indicate diverse levels of adoption and engagement with electronic banking services among the banks. These variations reflect the uneven pace at which banks deploy and utilize digital banking infrastructure, which in turn influences the extent to which customers can access formal financial services. The descriptive statistics highlight the disparities in financial access across institutions and underscore the need for more targeted technological interventions to improve account penetration and support broader financial inclusion goals in Nigeria.</w:t>
      </w:r>
    </w:p>
    <w:p w:rsidR="00086680" w:rsidRPr="00086680" w:rsidRDefault="00BB6B87" w:rsidP="00B25280">
      <w:pPr>
        <w:jc w:val="both"/>
        <w:rPr>
          <w:rFonts w:ascii="Times New Roman" w:hAnsi="Times New Roman" w:cs="Times New Roman"/>
        </w:rPr>
      </w:pPr>
      <w:r>
        <w:rPr>
          <w:noProof/>
        </w:rPr>
        <w:lastRenderedPageBreak/>
        <w:drawing>
          <wp:inline distT="0" distB="0" distL="0" distR="0" wp14:anchorId="4E0AFB6D" wp14:editId="72B6684D">
            <wp:extent cx="5829300" cy="29171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38119" cy="2921554"/>
                    </a:xfrm>
                    <a:prstGeom prst="rect">
                      <a:avLst/>
                    </a:prstGeom>
                  </pic:spPr>
                </pic:pic>
              </a:graphicData>
            </a:graphic>
          </wp:inline>
        </w:drawing>
      </w:r>
    </w:p>
    <w:p w:rsidR="00B25280" w:rsidRPr="00B25280" w:rsidRDefault="00B25280" w:rsidP="00B25280">
      <w:pPr>
        <w:jc w:val="both"/>
        <w:rPr>
          <w:rFonts w:ascii="Times New Roman" w:hAnsi="Times New Roman" w:cs="Times New Roman"/>
          <w:b/>
          <w:bCs/>
        </w:rPr>
      </w:pPr>
      <w:r w:rsidRPr="00B25280">
        <w:rPr>
          <w:rFonts w:ascii="Times New Roman" w:hAnsi="Times New Roman" w:cs="Times New Roman"/>
          <w:b/>
          <w:bCs/>
        </w:rPr>
        <w:t>Correlation Analysis</w:t>
      </w:r>
    </w:p>
    <w:p w:rsidR="00B25280" w:rsidRPr="00B25280" w:rsidRDefault="00B25280" w:rsidP="00B25280">
      <w:pPr>
        <w:jc w:val="both"/>
        <w:rPr>
          <w:rFonts w:ascii="Times New Roman" w:hAnsi="Times New Roman" w:cs="Times New Roman"/>
        </w:rPr>
      </w:pPr>
      <w:r w:rsidRPr="00B25280">
        <w:rPr>
          <w:rFonts w:ascii="Times New Roman" w:hAnsi="Times New Roman" w:cs="Times New Roman"/>
          <w:b/>
          <w:bCs/>
        </w:rPr>
        <w:t>Table 4.2: Correlation Matrix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05"/>
        <w:gridCol w:w="1260"/>
        <w:gridCol w:w="1080"/>
        <w:gridCol w:w="1080"/>
        <w:gridCol w:w="1260"/>
        <w:gridCol w:w="990"/>
      </w:tblGrid>
      <w:tr w:rsidR="00387B72" w:rsidRPr="00B25280" w:rsidTr="00935A16">
        <w:trPr>
          <w:tblHeader/>
          <w:tblCellSpacing w:w="15" w:type="dxa"/>
        </w:trPr>
        <w:tc>
          <w:tcPr>
            <w:tcW w:w="1360" w:type="dxa"/>
            <w:vAlign w:val="center"/>
            <w:hideMark/>
          </w:tcPr>
          <w:p w:rsidR="00387B72" w:rsidRPr="00B25280" w:rsidRDefault="00387B72" w:rsidP="00B25280">
            <w:pPr>
              <w:jc w:val="both"/>
              <w:rPr>
                <w:rFonts w:ascii="Times New Roman" w:hAnsi="Times New Roman" w:cs="Times New Roman"/>
                <w:b/>
                <w:bCs/>
              </w:rPr>
            </w:pPr>
            <w:r w:rsidRPr="00B25280">
              <w:rPr>
                <w:rFonts w:ascii="Times New Roman" w:hAnsi="Times New Roman" w:cs="Times New Roman"/>
                <w:b/>
                <w:bCs/>
              </w:rPr>
              <w:t>Variables</w:t>
            </w:r>
          </w:p>
        </w:tc>
        <w:tc>
          <w:tcPr>
            <w:tcW w:w="1230" w:type="dxa"/>
            <w:vAlign w:val="center"/>
            <w:hideMark/>
          </w:tcPr>
          <w:p w:rsidR="00387B72" w:rsidRPr="00B25280" w:rsidRDefault="00387B72" w:rsidP="00B25280">
            <w:pPr>
              <w:jc w:val="both"/>
              <w:rPr>
                <w:rFonts w:ascii="Times New Roman" w:hAnsi="Times New Roman" w:cs="Times New Roman"/>
                <w:b/>
                <w:bCs/>
              </w:rPr>
            </w:pPr>
            <w:r w:rsidRPr="00B25280">
              <w:rPr>
                <w:rFonts w:ascii="Times New Roman" w:hAnsi="Times New Roman" w:cs="Times New Roman"/>
                <w:b/>
                <w:bCs/>
              </w:rPr>
              <w:t>APR</w:t>
            </w:r>
          </w:p>
        </w:tc>
        <w:tc>
          <w:tcPr>
            <w:tcW w:w="1050" w:type="dxa"/>
            <w:vAlign w:val="center"/>
            <w:hideMark/>
          </w:tcPr>
          <w:p w:rsidR="00387B72" w:rsidRPr="00B25280" w:rsidRDefault="00387B72" w:rsidP="00B25280">
            <w:pPr>
              <w:jc w:val="both"/>
              <w:rPr>
                <w:rFonts w:ascii="Times New Roman" w:hAnsi="Times New Roman" w:cs="Times New Roman"/>
                <w:b/>
                <w:bCs/>
              </w:rPr>
            </w:pPr>
            <w:r w:rsidRPr="00B25280">
              <w:rPr>
                <w:rFonts w:ascii="Times New Roman" w:hAnsi="Times New Roman" w:cs="Times New Roman"/>
                <w:b/>
                <w:bCs/>
              </w:rPr>
              <w:t>ATV</w:t>
            </w:r>
          </w:p>
        </w:tc>
        <w:tc>
          <w:tcPr>
            <w:tcW w:w="1050" w:type="dxa"/>
            <w:vAlign w:val="center"/>
            <w:hideMark/>
          </w:tcPr>
          <w:p w:rsidR="00387B72" w:rsidRPr="00B25280" w:rsidRDefault="00387B72" w:rsidP="00B25280">
            <w:pPr>
              <w:jc w:val="both"/>
              <w:rPr>
                <w:rFonts w:ascii="Times New Roman" w:hAnsi="Times New Roman" w:cs="Times New Roman"/>
                <w:b/>
                <w:bCs/>
              </w:rPr>
            </w:pPr>
            <w:r w:rsidRPr="00B25280">
              <w:rPr>
                <w:rFonts w:ascii="Times New Roman" w:hAnsi="Times New Roman" w:cs="Times New Roman"/>
                <w:b/>
                <w:bCs/>
              </w:rPr>
              <w:t>AVAL</w:t>
            </w:r>
          </w:p>
        </w:tc>
        <w:tc>
          <w:tcPr>
            <w:tcW w:w="1230" w:type="dxa"/>
            <w:vAlign w:val="center"/>
            <w:hideMark/>
          </w:tcPr>
          <w:p w:rsidR="00387B72" w:rsidRPr="00B25280" w:rsidRDefault="00387B72" w:rsidP="00B25280">
            <w:pPr>
              <w:jc w:val="both"/>
              <w:rPr>
                <w:rFonts w:ascii="Times New Roman" w:hAnsi="Times New Roman" w:cs="Times New Roman"/>
                <w:b/>
                <w:bCs/>
              </w:rPr>
            </w:pPr>
            <w:r w:rsidRPr="00B25280">
              <w:rPr>
                <w:rFonts w:ascii="Times New Roman" w:hAnsi="Times New Roman" w:cs="Times New Roman"/>
                <w:b/>
                <w:bCs/>
              </w:rPr>
              <w:t>PTV</w:t>
            </w:r>
          </w:p>
        </w:tc>
        <w:tc>
          <w:tcPr>
            <w:tcW w:w="945" w:type="dxa"/>
            <w:vAlign w:val="center"/>
            <w:hideMark/>
          </w:tcPr>
          <w:p w:rsidR="00387B72" w:rsidRPr="00B25280" w:rsidRDefault="00387B72" w:rsidP="00B25280">
            <w:pPr>
              <w:jc w:val="both"/>
              <w:rPr>
                <w:rFonts w:ascii="Times New Roman" w:hAnsi="Times New Roman" w:cs="Times New Roman"/>
                <w:b/>
                <w:bCs/>
              </w:rPr>
            </w:pPr>
            <w:r w:rsidRPr="00B25280">
              <w:rPr>
                <w:rFonts w:ascii="Times New Roman" w:hAnsi="Times New Roman" w:cs="Times New Roman"/>
                <w:b/>
                <w:bCs/>
              </w:rPr>
              <w:t>PVAL</w:t>
            </w:r>
          </w:p>
        </w:tc>
      </w:tr>
      <w:tr w:rsidR="00387B72" w:rsidRPr="00B25280" w:rsidTr="00935A16">
        <w:trPr>
          <w:tblCellSpacing w:w="15" w:type="dxa"/>
        </w:trPr>
        <w:tc>
          <w:tcPr>
            <w:tcW w:w="1360"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APR</w:t>
            </w:r>
          </w:p>
        </w:tc>
        <w:tc>
          <w:tcPr>
            <w:tcW w:w="1230"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1.000</w:t>
            </w:r>
          </w:p>
        </w:tc>
        <w:tc>
          <w:tcPr>
            <w:tcW w:w="1050" w:type="dxa"/>
            <w:vAlign w:val="center"/>
            <w:hideMark/>
          </w:tcPr>
          <w:p w:rsidR="00387B72" w:rsidRPr="00B25280" w:rsidRDefault="00387B72" w:rsidP="00B25280">
            <w:pPr>
              <w:jc w:val="both"/>
              <w:rPr>
                <w:rFonts w:ascii="Times New Roman" w:hAnsi="Times New Roman" w:cs="Times New Roman"/>
              </w:rPr>
            </w:pPr>
          </w:p>
        </w:tc>
        <w:tc>
          <w:tcPr>
            <w:tcW w:w="1050" w:type="dxa"/>
            <w:vAlign w:val="center"/>
            <w:hideMark/>
          </w:tcPr>
          <w:p w:rsidR="00387B72" w:rsidRPr="00B25280" w:rsidRDefault="00387B72" w:rsidP="00B25280">
            <w:pPr>
              <w:jc w:val="both"/>
              <w:rPr>
                <w:rFonts w:ascii="Times New Roman" w:hAnsi="Times New Roman" w:cs="Times New Roman"/>
              </w:rPr>
            </w:pPr>
          </w:p>
        </w:tc>
        <w:tc>
          <w:tcPr>
            <w:tcW w:w="1230" w:type="dxa"/>
            <w:vAlign w:val="center"/>
            <w:hideMark/>
          </w:tcPr>
          <w:p w:rsidR="00387B72" w:rsidRPr="00B25280" w:rsidRDefault="00387B72" w:rsidP="00B25280">
            <w:pPr>
              <w:jc w:val="both"/>
              <w:rPr>
                <w:rFonts w:ascii="Times New Roman" w:hAnsi="Times New Roman" w:cs="Times New Roman"/>
              </w:rPr>
            </w:pPr>
          </w:p>
        </w:tc>
        <w:tc>
          <w:tcPr>
            <w:tcW w:w="945" w:type="dxa"/>
            <w:vAlign w:val="center"/>
            <w:hideMark/>
          </w:tcPr>
          <w:p w:rsidR="00387B72" w:rsidRPr="00B25280" w:rsidRDefault="00387B72" w:rsidP="00B25280">
            <w:pPr>
              <w:jc w:val="both"/>
              <w:rPr>
                <w:rFonts w:ascii="Times New Roman" w:hAnsi="Times New Roman" w:cs="Times New Roman"/>
              </w:rPr>
            </w:pPr>
          </w:p>
        </w:tc>
      </w:tr>
      <w:tr w:rsidR="00387B72" w:rsidRPr="00B25280" w:rsidTr="00935A16">
        <w:trPr>
          <w:tblCellSpacing w:w="15" w:type="dxa"/>
        </w:trPr>
        <w:tc>
          <w:tcPr>
            <w:tcW w:w="1360"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ATV</w:t>
            </w:r>
          </w:p>
        </w:tc>
        <w:tc>
          <w:tcPr>
            <w:tcW w:w="1230"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0.612***</w:t>
            </w:r>
          </w:p>
        </w:tc>
        <w:tc>
          <w:tcPr>
            <w:tcW w:w="1050"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1.000</w:t>
            </w:r>
          </w:p>
        </w:tc>
        <w:tc>
          <w:tcPr>
            <w:tcW w:w="1050" w:type="dxa"/>
            <w:vAlign w:val="center"/>
            <w:hideMark/>
          </w:tcPr>
          <w:p w:rsidR="00387B72" w:rsidRPr="00B25280" w:rsidRDefault="00387B72" w:rsidP="00B25280">
            <w:pPr>
              <w:jc w:val="both"/>
              <w:rPr>
                <w:rFonts w:ascii="Times New Roman" w:hAnsi="Times New Roman" w:cs="Times New Roman"/>
              </w:rPr>
            </w:pPr>
          </w:p>
        </w:tc>
        <w:tc>
          <w:tcPr>
            <w:tcW w:w="1230" w:type="dxa"/>
            <w:vAlign w:val="center"/>
            <w:hideMark/>
          </w:tcPr>
          <w:p w:rsidR="00387B72" w:rsidRPr="00B25280" w:rsidRDefault="00387B72" w:rsidP="00B25280">
            <w:pPr>
              <w:jc w:val="both"/>
              <w:rPr>
                <w:rFonts w:ascii="Times New Roman" w:hAnsi="Times New Roman" w:cs="Times New Roman"/>
              </w:rPr>
            </w:pPr>
          </w:p>
        </w:tc>
        <w:tc>
          <w:tcPr>
            <w:tcW w:w="945" w:type="dxa"/>
            <w:vAlign w:val="center"/>
            <w:hideMark/>
          </w:tcPr>
          <w:p w:rsidR="00387B72" w:rsidRPr="00B25280" w:rsidRDefault="00387B72" w:rsidP="00B25280">
            <w:pPr>
              <w:jc w:val="both"/>
              <w:rPr>
                <w:rFonts w:ascii="Times New Roman" w:hAnsi="Times New Roman" w:cs="Times New Roman"/>
              </w:rPr>
            </w:pPr>
          </w:p>
        </w:tc>
      </w:tr>
      <w:tr w:rsidR="00387B72" w:rsidRPr="00B25280" w:rsidTr="00935A16">
        <w:trPr>
          <w:tblCellSpacing w:w="15" w:type="dxa"/>
        </w:trPr>
        <w:tc>
          <w:tcPr>
            <w:tcW w:w="1360"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AVAL</w:t>
            </w:r>
          </w:p>
        </w:tc>
        <w:tc>
          <w:tcPr>
            <w:tcW w:w="1230"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0.634***</w:t>
            </w:r>
          </w:p>
        </w:tc>
        <w:tc>
          <w:tcPr>
            <w:tcW w:w="1050"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0.923***</w:t>
            </w:r>
          </w:p>
        </w:tc>
        <w:tc>
          <w:tcPr>
            <w:tcW w:w="1050"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1.000</w:t>
            </w:r>
          </w:p>
        </w:tc>
        <w:tc>
          <w:tcPr>
            <w:tcW w:w="1230" w:type="dxa"/>
            <w:vAlign w:val="center"/>
            <w:hideMark/>
          </w:tcPr>
          <w:p w:rsidR="00387B72" w:rsidRPr="00B25280" w:rsidRDefault="00387B72" w:rsidP="00B25280">
            <w:pPr>
              <w:jc w:val="both"/>
              <w:rPr>
                <w:rFonts w:ascii="Times New Roman" w:hAnsi="Times New Roman" w:cs="Times New Roman"/>
              </w:rPr>
            </w:pPr>
          </w:p>
        </w:tc>
        <w:tc>
          <w:tcPr>
            <w:tcW w:w="945" w:type="dxa"/>
            <w:vAlign w:val="center"/>
            <w:hideMark/>
          </w:tcPr>
          <w:p w:rsidR="00387B72" w:rsidRPr="00B25280" w:rsidRDefault="00387B72" w:rsidP="00B25280">
            <w:pPr>
              <w:jc w:val="both"/>
              <w:rPr>
                <w:rFonts w:ascii="Times New Roman" w:hAnsi="Times New Roman" w:cs="Times New Roman"/>
              </w:rPr>
            </w:pPr>
          </w:p>
        </w:tc>
      </w:tr>
      <w:tr w:rsidR="00387B72" w:rsidRPr="00B25280" w:rsidTr="00935A16">
        <w:trPr>
          <w:tblCellSpacing w:w="15" w:type="dxa"/>
        </w:trPr>
        <w:tc>
          <w:tcPr>
            <w:tcW w:w="1360"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PTV</w:t>
            </w:r>
          </w:p>
        </w:tc>
        <w:tc>
          <w:tcPr>
            <w:tcW w:w="1230"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0.587***</w:t>
            </w:r>
          </w:p>
        </w:tc>
        <w:tc>
          <w:tcPr>
            <w:tcW w:w="1050"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0.678***</w:t>
            </w:r>
          </w:p>
        </w:tc>
        <w:tc>
          <w:tcPr>
            <w:tcW w:w="1050"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0.689***</w:t>
            </w:r>
          </w:p>
        </w:tc>
        <w:tc>
          <w:tcPr>
            <w:tcW w:w="1230"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1.000</w:t>
            </w:r>
          </w:p>
        </w:tc>
        <w:tc>
          <w:tcPr>
            <w:tcW w:w="945" w:type="dxa"/>
            <w:vAlign w:val="center"/>
            <w:hideMark/>
          </w:tcPr>
          <w:p w:rsidR="00387B72" w:rsidRPr="00B25280" w:rsidRDefault="00387B72" w:rsidP="00B25280">
            <w:pPr>
              <w:jc w:val="both"/>
              <w:rPr>
                <w:rFonts w:ascii="Times New Roman" w:hAnsi="Times New Roman" w:cs="Times New Roman"/>
              </w:rPr>
            </w:pPr>
          </w:p>
        </w:tc>
      </w:tr>
      <w:tr w:rsidR="00387B72" w:rsidRPr="00B25280" w:rsidTr="00935A16">
        <w:trPr>
          <w:tblCellSpacing w:w="15" w:type="dxa"/>
        </w:trPr>
        <w:tc>
          <w:tcPr>
            <w:tcW w:w="1360"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PVAL</w:t>
            </w:r>
          </w:p>
        </w:tc>
        <w:tc>
          <w:tcPr>
            <w:tcW w:w="1230"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0.591***</w:t>
            </w:r>
          </w:p>
        </w:tc>
        <w:tc>
          <w:tcPr>
            <w:tcW w:w="1050"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0.695***</w:t>
            </w:r>
          </w:p>
        </w:tc>
        <w:tc>
          <w:tcPr>
            <w:tcW w:w="1050"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0.712***</w:t>
            </w:r>
          </w:p>
        </w:tc>
        <w:tc>
          <w:tcPr>
            <w:tcW w:w="1230"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0.934***</w:t>
            </w:r>
          </w:p>
        </w:tc>
        <w:tc>
          <w:tcPr>
            <w:tcW w:w="945" w:type="dxa"/>
            <w:vAlign w:val="center"/>
            <w:hideMark/>
          </w:tcPr>
          <w:p w:rsidR="00387B72" w:rsidRPr="00B25280" w:rsidRDefault="00387B72" w:rsidP="00B25280">
            <w:pPr>
              <w:jc w:val="both"/>
              <w:rPr>
                <w:rFonts w:ascii="Times New Roman" w:hAnsi="Times New Roman" w:cs="Times New Roman"/>
              </w:rPr>
            </w:pPr>
            <w:r w:rsidRPr="00B25280">
              <w:rPr>
                <w:rFonts w:ascii="Times New Roman" w:hAnsi="Times New Roman" w:cs="Times New Roman"/>
              </w:rPr>
              <w:t>1.000</w:t>
            </w:r>
          </w:p>
        </w:tc>
      </w:tr>
    </w:tbl>
    <w:p w:rsidR="00B25280" w:rsidRDefault="00B25280" w:rsidP="00B25280">
      <w:pPr>
        <w:jc w:val="both"/>
        <w:rPr>
          <w:rFonts w:ascii="Times New Roman" w:hAnsi="Times New Roman" w:cs="Times New Roman"/>
          <w:i/>
          <w:iCs/>
        </w:rPr>
      </w:pPr>
      <w:r w:rsidRPr="00B25280">
        <w:rPr>
          <w:rFonts w:ascii="Times New Roman" w:hAnsi="Times New Roman" w:cs="Times New Roman"/>
          <w:i/>
          <w:iCs/>
        </w:rPr>
        <w:t>Note: *** p&lt;0.01, ** p&lt;0.05, * p&lt;0.10</w:t>
      </w:r>
    </w:p>
    <w:p w:rsidR="00BB6B87" w:rsidRDefault="00BB6B87" w:rsidP="00B25280">
      <w:pPr>
        <w:jc w:val="both"/>
        <w:rPr>
          <w:noProof/>
        </w:rPr>
      </w:pPr>
      <w:r>
        <w:rPr>
          <w:noProof/>
        </w:rPr>
        <w:drawing>
          <wp:anchor distT="0" distB="0" distL="114300" distR="114300" simplePos="0" relativeHeight="251660288" behindDoc="0" locked="0" layoutInCell="1" allowOverlap="1">
            <wp:simplePos x="0" y="0"/>
            <wp:positionH relativeFrom="column">
              <wp:posOffset>771525</wp:posOffset>
            </wp:positionH>
            <wp:positionV relativeFrom="paragraph">
              <wp:posOffset>78275</wp:posOffset>
            </wp:positionV>
            <wp:extent cx="3590925" cy="3598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590925" cy="3598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9E66999" wp14:editId="676DC05C">
            <wp:simplePos x="0" y="0"/>
            <wp:positionH relativeFrom="column">
              <wp:posOffset>0</wp:posOffset>
            </wp:positionH>
            <wp:positionV relativeFrom="paragraph">
              <wp:posOffset>274320</wp:posOffset>
            </wp:positionV>
            <wp:extent cx="5000625" cy="3771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b="4471"/>
                    <a:stretch/>
                  </pic:blipFill>
                  <pic:spPr bwMode="auto">
                    <a:xfrm>
                      <a:off x="0" y="0"/>
                      <a:ext cx="5000625" cy="3771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6B87" w:rsidRDefault="00BB6B87" w:rsidP="00B25280">
      <w:pPr>
        <w:jc w:val="both"/>
        <w:rPr>
          <w:noProof/>
        </w:rPr>
      </w:pPr>
    </w:p>
    <w:p w:rsidR="00BB6B87" w:rsidRDefault="00BB6B87" w:rsidP="00B25280">
      <w:pPr>
        <w:jc w:val="both"/>
        <w:rPr>
          <w:noProof/>
        </w:rPr>
      </w:pPr>
    </w:p>
    <w:p w:rsidR="00BB6B87" w:rsidRDefault="00BB6B87" w:rsidP="00B25280">
      <w:pPr>
        <w:jc w:val="both"/>
        <w:rPr>
          <w:rFonts w:ascii="Times New Roman" w:hAnsi="Times New Roman" w:cs="Times New Roman"/>
        </w:rPr>
      </w:pPr>
    </w:p>
    <w:p w:rsidR="00BB6B87" w:rsidRDefault="00BB6B87" w:rsidP="00B25280">
      <w:pPr>
        <w:jc w:val="both"/>
        <w:rPr>
          <w:rFonts w:ascii="Times New Roman" w:hAnsi="Times New Roman" w:cs="Times New Roman"/>
        </w:rPr>
      </w:pPr>
    </w:p>
    <w:p w:rsidR="00BB6B87" w:rsidRDefault="00BB6B87" w:rsidP="00B25280">
      <w:pPr>
        <w:jc w:val="both"/>
        <w:rPr>
          <w:rFonts w:ascii="Times New Roman" w:hAnsi="Times New Roman" w:cs="Times New Roman"/>
        </w:rPr>
      </w:pPr>
    </w:p>
    <w:p w:rsidR="00BB6B87" w:rsidRDefault="00BB6B87" w:rsidP="00B25280">
      <w:pPr>
        <w:jc w:val="both"/>
        <w:rPr>
          <w:rFonts w:ascii="Times New Roman" w:hAnsi="Times New Roman" w:cs="Times New Roman"/>
        </w:rPr>
      </w:pPr>
    </w:p>
    <w:p w:rsidR="00BB6B87" w:rsidRDefault="00BB6B87" w:rsidP="00B25280">
      <w:pPr>
        <w:jc w:val="both"/>
        <w:rPr>
          <w:rFonts w:ascii="Times New Roman" w:hAnsi="Times New Roman" w:cs="Times New Roman"/>
        </w:rPr>
      </w:pPr>
    </w:p>
    <w:p w:rsidR="00BB6B87" w:rsidRDefault="00BB6B87" w:rsidP="00B25280">
      <w:pPr>
        <w:jc w:val="both"/>
        <w:rPr>
          <w:rFonts w:ascii="Times New Roman" w:hAnsi="Times New Roman" w:cs="Times New Roman"/>
        </w:rPr>
      </w:pPr>
    </w:p>
    <w:p w:rsidR="00BB6B87" w:rsidRDefault="00BB6B87" w:rsidP="00B25280">
      <w:pPr>
        <w:jc w:val="both"/>
        <w:rPr>
          <w:rFonts w:ascii="Times New Roman" w:hAnsi="Times New Roman" w:cs="Times New Roman"/>
        </w:rPr>
      </w:pPr>
    </w:p>
    <w:p w:rsidR="00BB6B87" w:rsidRDefault="00BB6B87" w:rsidP="00B25280">
      <w:pPr>
        <w:jc w:val="both"/>
        <w:rPr>
          <w:rFonts w:ascii="Times New Roman" w:hAnsi="Times New Roman" w:cs="Times New Roman"/>
        </w:rPr>
      </w:pPr>
    </w:p>
    <w:p w:rsidR="00BB6B87" w:rsidRDefault="00BB6B87" w:rsidP="00B25280">
      <w:pPr>
        <w:jc w:val="both"/>
        <w:rPr>
          <w:rFonts w:ascii="Times New Roman" w:hAnsi="Times New Roman" w:cs="Times New Roman"/>
        </w:rPr>
      </w:pPr>
    </w:p>
    <w:p w:rsidR="00BB6B87" w:rsidRDefault="00BB6B87" w:rsidP="00B25280">
      <w:pPr>
        <w:jc w:val="both"/>
        <w:rPr>
          <w:rFonts w:ascii="Times New Roman" w:hAnsi="Times New Roman" w:cs="Times New Roman"/>
        </w:rPr>
      </w:pPr>
    </w:p>
    <w:p w:rsidR="00B25280" w:rsidRPr="00B25280" w:rsidRDefault="00935A16" w:rsidP="00B25280">
      <w:pPr>
        <w:jc w:val="both"/>
        <w:rPr>
          <w:rFonts w:ascii="Times New Roman" w:hAnsi="Times New Roman" w:cs="Times New Roman"/>
        </w:rPr>
      </w:pPr>
      <w:r w:rsidRPr="00935A16">
        <w:rPr>
          <w:rFonts w:ascii="Times New Roman" w:hAnsi="Times New Roman" w:cs="Times New Roman"/>
        </w:rPr>
        <w:t>The correlation matrix reveals a strong interconnection between financial inclusion metrics and electronic banking activities. Particularly, ATM and POS transactions</w:t>
      </w:r>
      <w:r>
        <w:rPr>
          <w:rFonts w:ascii="Times New Roman" w:hAnsi="Times New Roman" w:cs="Times New Roman"/>
        </w:rPr>
        <w:t xml:space="preserve"> </w:t>
      </w:r>
      <w:r w:rsidRPr="00935A16">
        <w:rPr>
          <w:rFonts w:ascii="Times New Roman" w:hAnsi="Times New Roman" w:cs="Times New Roman"/>
        </w:rPr>
        <w:t>both in volume and value</w:t>
      </w:r>
      <w:r>
        <w:rPr>
          <w:rFonts w:ascii="Times New Roman" w:hAnsi="Times New Roman" w:cs="Times New Roman"/>
        </w:rPr>
        <w:t xml:space="preserve"> </w:t>
      </w:r>
      <w:r w:rsidRPr="00935A16">
        <w:rPr>
          <w:rFonts w:ascii="Times New Roman" w:hAnsi="Times New Roman" w:cs="Times New Roman"/>
        </w:rPr>
        <w:t>are positively associated with increased account penetration, usage frequency, and geographic reach. This supports the hypothesis that e-banking promotes financial inclusion.</w:t>
      </w:r>
    </w:p>
    <w:p w:rsidR="00DE7272" w:rsidRDefault="00B25280" w:rsidP="00B25280">
      <w:pPr>
        <w:jc w:val="both"/>
        <w:rPr>
          <w:rFonts w:ascii="Times New Roman" w:hAnsi="Times New Roman" w:cs="Times New Roman"/>
        </w:rPr>
      </w:pPr>
      <w:r w:rsidRPr="00B25280">
        <w:rPr>
          <w:rFonts w:ascii="Times New Roman" w:hAnsi="Times New Roman" w:cs="Times New Roman"/>
        </w:rPr>
        <w:t>The correlation analysis reveals strong positive relationships between electronic banking variables and financial inclusion indicators. All correlation coefficients are statistically significant at the 1% level, suggesting that higher electronic banking adoption is associated with better financial inclusion outcomes.</w:t>
      </w:r>
    </w:p>
    <w:p w:rsidR="00B25280" w:rsidRPr="00DE7272" w:rsidRDefault="00B25280" w:rsidP="00B25280">
      <w:pPr>
        <w:jc w:val="both"/>
        <w:rPr>
          <w:rFonts w:ascii="Times New Roman" w:hAnsi="Times New Roman" w:cs="Times New Roman"/>
        </w:rPr>
      </w:pPr>
      <w:r w:rsidRPr="00B25280">
        <w:rPr>
          <w:rFonts w:ascii="Times New Roman" w:hAnsi="Times New Roman" w:cs="Times New Roman"/>
          <w:b/>
          <w:bCs/>
        </w:rPr>
        <w:t>Panel Data Regression Results</w:t>
      </w:r>
    </w:p>
    <w:p w:rsidR="00B25280" w:rsidRPr="00B25280" w:rsidRDefault="00B25280" w:rsidP="00B25280">
      <w:pPr>
        <w:jc w:val="both"/>
        <w:rPr>
          <w:rFonts w:ascii="Times New Roman" w:hAnsi="Times New Roman" w:cs="Times New Roman"/>
        </w:rPr>
      </w:pPr>
      <w:r w:rsidRPr="00B25280">
        <w:rPr>
          <w:rFonts w:ascii="Times New Roman" w:hAnsi="Times New Roman" w:cs="Times New Roman"/>
          <w:b/>
          <w:bCs/>
        </w:rPr>
        <w:t>Table 4.3: Panel Data Regression Results - Fixed Effects Model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05"/>
        <w:gridCol w:w="3240"/>
      </w:tblGrid>
      <w:tr w:rsidR="00BB6B87" w:rsidRPr="00B25280" w:rsidTr="00BB6B87">
        <w:trPr>
          <w:tblHeader/>
          <w:tblCellSpacing w:w="15" w:type="dxa"/>
        </w:trPr>
        <w:tc>
          <w:tcPr>
            <w:tcW w:w="4060" w:type="dxa"/>
            <w:vAlign w:val="center"/>
            <w:hideMark/>
          </w:tcPr>
          <w:p w:rsidR="00BB6B87" w:rsidRPr="00B25280" w:rsidRDefault="00BB6B87" w:rsidP="00B25280">
            <w:pPr>
              <w:jc w:val="both"/>
              <w:rPr>
                <w:rFonts w:ascii="Times New Roman" w:hAnsi="Times New Roman" w:cs="Times New Roman"/>
                <w:b/>
                <w:bCs/>
              </w:rPr>
            </w:pPr>
            <w:r w:rsidRPr="00B25280">
              <w:rPr>
                <w:rFonts w:ascii="Times New Roman" w:hAnsi="Times New Roman" w:cs="Times New Roman"/>
                <w:b/>
                <w:bCs/>
              </w:rPr>
              <w:t>Variables</w:t>
            </w:r>
          </w:p>
        </w:tc>
        <w:tc>
          <w:tcPr>
            <w:tcW w:w="3195" w:type="dxa"/>
            <w:vAlign w:val="center"/>
            <w:hideMark/>
          </w:tcPr>
          <w:p w:rsidR="00BB6B87" w:rsidRPr="00B25280" w:rsidRDefault="00BB6B87" w:rsidP="00B25280">
            <w:pPr>
              <w:jc w:val="both"/>
              <w:rPr>
                <w:rFonts w:ascii="Times New Roman" w:hAnsi="Times New Roman" w:cs="Times New Roman"/>
                <w:b/>
                <w:bCs/>
              </w:rPr>
            </w:pPr>
            <w:r w:rsidRPr="00B25280">
              <w:rPr>
                <w:rFonts w:ascii="Times New Roman" w:hAnsi="Times New Roman" w:cs="Times New Roman"/>
                <w:b/>
                <w:bCs/>
              </w:rPr>
              <w:t>Model 1 (APR)</w:t>
            </w:r>
          </w:p>
        </w:tc>
      </w:tr>
      <w:tr w:rsidR="00BB6B87" w:rsidRPr="00B25280" w:rsidTr="00BB6B87">
        <w:trPr>
          <w:tblCellSpacing w:w="15" w:type="dxa"/>
        </w:trPr>
        <w:tc>
          <w:tcPr>
            <w:tcW w:w="4060"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ATM Transaction Volume</w:t>
            </w:r>
          </w:p>
        </w:tc>
        <w:tc>
          <w:tcPr>
            <w:tcW w:w="3195"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0.0034***</w:t>
            </w:r>
          </w:p>
        </w:tc>
      </w:tr>
      <w:tr w:rsidR="00BB6B87" w:rsidRPr="00B25280" w:rsidTr="00BB6B87">
        <w:trPr>
          <w:tblCellSpacing w:w="15" w:type="dxa"/>
        </w:trPr>
        <w:tc>
          <w:tcPr>
            <w:tcW w:w="4060" w:type="dxa"/>
            <w:vAlign w:val="center"/>
            <w:hideMark/>
          </w:tcPr>
          <w:p w:rsidR="00BB6B87" w:rsidRPr="00B25280" w:rsidRDefault="00BB6B87" w:rsidP="00B25280">
            <w:pPr>
              <w:jc w:val="both"/>
              <w:rPr>
                <w:rFonts w:ascii="Times New Roman" w:hAnsi="Times New Roman" w:cs="Times New Roman"/>
              </w:rPr>
            </w:pPr>
          </w:p>
        </w:tc>
        <w:tc>
          <w:tcPr>
            <w:tcW w:w="3195"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(0.0008)</w:t>
            </w:r>
          </w:p>
        </w:tc>
      </w:tr>
      <w:tr w:rsidR="00BB6B87" w:rsidRPr="00B25280" w:rsidTr="00BB6B87">
        <w:trPr>
          <w:tblCellSpacing w:w="15" w:type="dxa"/>
        </w:trPr>
        <w:tc>
          <w:tcPr>
            <w:tcW w:w="4060"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ATM Transaction Value</w:t>
            </w:r>
          </w:p>
        </w:tc>
        <w:tc>
          <w:tcPr>
            <w:tcW w:w="3195"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0.0156***</w:t>
            </w:r>
          </w:p>
        </w:tc>
      </w:tr>
      <w:tr w:rsidR="00BB6B87" w:rsidRPr="00B25280" w:rsidTr="00BB6B87">
        <w:trPr>
          <w:tblCellSpacing w:w="15" w:type="dxa"/>
        </w:trPr>
        <w:tc>
          <w:tcPr>
            <w:tcW w:w="4060" w:type="dxa"/>
            <w:vAlign w:val="center"/>
            <w:hideMark/>
          </w:tcPr>
          <w:p w:rsidR="00BB6B87" w:rsidRPr="00B25280" w:rsidRDefault="00BB6B87" w:rsidP="00B25280">
            <w:pPr>
              <w:jc w:val="both"/>
              <w:rPr>
                <w:rFonts w:ascii="Times New Roman" w:hAnsi="Times New Roman" w:cs="Times New Roman"/>
              </w:rPr>
            </w:pPr>
          </w:p>
        </w:tc>
        <w:tc>
          <w:tcPr>
            <w:tcW w:w="3195"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(0.0034)</w:t>
            </w:r>
          </w:p>
        </w:tc>
      </w:tr>
      <w:tr w:rsidR="00BB6B87" w:rsidRPr="00B25280" w:rsidTr="00BB6B87">
        <w:trPr>
          <w:tblCellSpacing w:w="15" w:type="dxa"/>
        </w:trPr>
        <w:tc>
          <w:tcPr>
            <w:tcW w:w="4060"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POS Transaction Volume</w:t>
            </w:r>
          </w:p>
        </w:tc>
        <w:tc>
          <w:tcPr>
            <w:tcW w:w="3195"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0.0067***</w:t>
            </w:r>
          </w:p>
        </w:tc>
      </w:tr>
      <w:tr w:rsidR="00BB6B87" w:rsidRPr="00B25280" w:rsidTr="00BB6B87">
        <w:trPr>
          <w:tblCellSpacing w:w="15" w:type="dxa"/>
        </w:trPr>
        <w:tc>
          <w:tcPr>
            <w:tcW w:w="4060" w:type="dxa"/>
            <w:vAlign w:val="center"/>
            <w:hideMark/>
          </w:tcPr>
          <w:p w:rsidR="00BB6B87" w:rsidRPr="00B25280" w:rsidRDefault="00BB6B87" w:rsidP="00B25280">
            <w:pPr>
              <w:jc w:val="both"/>
              <w:rPr>
                <w:rFonts w:ascii="Times New Roman" w:hAnsi="Times New Roman" w:cs="Times New Roman"/>
              </w:rPr>
            </w:pPr>
          </w:p>
        </w:tc>
        <w:tc>
          <w:tcPr>
            <w:tcW w:w="3195"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(0.0018)</w:t>
            </w:r>
          </w:p>
        </w:tc>
      </w:tr>
      <w:tr w:rsidR="00BB6B87" w:rsidRPr="00B25280" w:rsidTr="00BB6B87">
        <w:trPr>
          <w:tblCellSpacing w:w="15" w:type="dxa"/>
        </w:trPr>
        <w:tc>
          <w:tcPr>
            <w:tcW w:w="4060"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POS Transaction Value</w:t>
            </w:r>
          </w:p>
        </w:tc>
        <w:tc>
          <w:tcPr>
            <w:tcW w:w="3195"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0.0089***</w:t>
            </w:r>
          </w:p>
        </w:tc>
      </w:tr>
      <w:tr w:rsidR="00BB6B87" w:rsidRPr="00B25280" w:rsidTr="00BB6B87">
        <w:trPr>
          <w:tblCellSpacing w:w="15" w:type="dxa"/>
        </w:trPr>
        <w:tc>
          <w:tcPr>
            <w:tcW w:w="4060" w:type="dxa"/>
            <w:vAlign w:val="center"/>
            <w:hideMark/>
          </w:tcPr>
          <w:p w:rsidR="00BB6B87" w:rsidRPr="00B25280" w:rsidRDefault="00BB6B87" w:rsidP="00B25280">
            <w:pPr>
              <w:jc w:val="both"/>
              <w:rPr>
                <w:rFonts w:ascii="Times New Roman" w:hAnsi="Times New Roman" w:cs="Times New Roman"/>
              </w:rPr>
            </w:pPr>
          </w:p>
        </w:tc>
        <w:tc>
          <w:tcPr>
            <w:tcW w:w="3195"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(0.0023)</w:t>
            </w:r>
          </w:p>
        </w:tc>
      </w:tr>
      <w:tr w:rsidR="00BB6B87" w:rsidRPr="00B25280" w:rsidTr="00BB6B87">
        <w:trPr>
          <w:tblCellSpacing w:w="15" w:type="dxa"/>
        </w:trPr>
        <w:tc>
          <w:tcPr>
            <w:tcW w:w="4060"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Constant</w:t>
            </w:r>
          </w:p>
        </w:tc>
        <w:tc>
          <w:tcPr>
            <w:tcW w:w="3195"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-18.45***</w:t>
            </w:r>
          </w:p>
        </w:tc>
      </w:tr>
      <w:tr w:rsidR="00BB6B87" w:rsidRPr="00B25280" w:rsidTr="00BB6B87">
        <w:trPr>
          <w:tblCellSpacing w:w="15" w:type="dxa"/>
        </w:trPr>
        <w:tc>
          <w:tcPr>
            <w:tcW w:w="4060" w:type="dxa"/>
            <w:vAlign w:val="center"/>
            <w:hideMark/>
          </w:tcPr>
          <w:p w:rsidR="00BB6B87" w:rsidRPr="00B25280" w:rsidRDefault="00BB6B87" w:rsidP="00B25280">
            <w:pPr>
              <w:jc w:val="both"/>
              <w:rPr>
                <w:rFonts w:ascii="Times New Roman" w:hAnsi="Times New Roman" w:cs="Times New Roman"/>
              </w:rPr>
            </w:pPr>
          </w:p>
        </w:tc>
        <w:tc>
          <w:tcPr>
            <w:tcW w:w="3195"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(4.56)</w:t>
            </w:r>
          </w:p>
        </w:tc>
      </w:tr>
      <w:tr w:rsidR="00BB6B87" w:rsidRPr="00B25280" w:rsidTr="00BB6B87">
        <w:trPr>
          <w:tblCellSpacing w:w="15" w:type="dxa"/>
        </w:trPr>
        <w:tc>
          <w:tcPr>
            <w:tcW w:w="4060"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lastRenderedPageBreak/>
              <w:t>R-squared (within)</w:t>
            </w:r>
          </w:p>
        </w:tc>
        <w:tc>
          <w:tcPr>
            <w:tcW w:w="3195"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0.742</w:t>
            </w:r>
          </w:p>
        </w:tc>
      </w:tr>
      <w:tr w:rsidR="00BB6B87" w:rsidRPr="00B25280" w:rsidTr="00BB6B87">
        <w:trPr>
          <w:tblCellSpacing w:w="15" w:type="dxa"/>
        </w:trPr>
        <w:tc>
          <w:tcPr>
            <w:tcW w:w="4060"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F-statistic</w:t>
            </w:r>
          </w:p>
        </w:tc>
        <w:tc>
          <w:tcPr>
            <w:tcW w:w="3195"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28.45***</w:t>
            </w:r>
          </w:p>
        </w:tc>
      </w:tr>
      <w:tr w:rsidR="00BB6B87" w:rsidRPr="00B25280" w:rsidTr="00BB6B87">
        <w:trPr>
          <w:tblCellSpacing w:w="15" w:type="dxa"/>
        </w:trPr>
        <w:tc>
          <w:tcPr>
            <w:tcW w:w="4060"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Observations</w:t>
            </w:r>
          </w:p>
        </w:tc>
        <w:tc>
          <w:tcPr>
            <w:tcW w:w="3195"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110</w:t>
            </w:r>
          </w:p>
        </w:tc>
      </w:tr>
      <w:tr w:rsidR="00BB6B87" w:rsidRPr="00B25280" w:rsidTr="00BB6B87">
        <w:trPr>
          <w:tblCellSpacing w:w="15" w:type="dxa"/>
        </w:trPr>
        <w:tc>
          <w:tcPr>
            <w:tcW w:w="4060"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Number of banks</w:t>
            </w:r>
          </w:p>
        </w:tc>
        <w:tc>
          <w:tcPr>
            <w:tcW w:w="3195" w:type="dxa"/>
            <w:vAlign w:val="center"/>
            <w:hideMark/>
          </w:tcPr>
          <w:p w:rsidR="00BB6B87" w:rsidRPr="00B25280" w:rsidRDefault="00BB6B87" w:rsidP="00B25280">
            <w:pPr>
              <w:jc w:val="both"/>
              <w:rPr>
                <w:rFonts w:ascii="Times New Roman" w:hAnsi="Times New Roman" w:cs="Times New Roman"/>
              </w:rPr>
            </w:pPr>
            <w:r w:rsidRPr="00B25280">
              <w:rPr>
                <w:rFonts w:ascii="Times New Roman" w:hAnsi="Times New Roman" w:cs="Times New Roman"/>
              </w:rPr>
              <w:t>22</w:t>
            </w:r>
          </w:p>
        </w:tc>
      </w:tr>
    </w:tbl>
    <w:p w:rsidR="00B25280" w:rsidRPr="00B25280" w:rsidRDefault="00B25280" w:rsidP="00B25280">
      <w:pPr>
        <w:jc w:val="both"/>
        <w:rPr>
          <w:rFonts w:ascii="Times New Roman" w:hAnsi="Times New Roman" w:cs="Times New Roman"/>
        </w:rPr>
      </w:pPr>
      <w:r w:rsidRPr="00B25280">
        <w:rPr>
          <w:rFonts w:ascii="Times New Roman" w:hAnsi="Times New Roman" w:cs="Times New Roman"/>
          <w:i/>
          <w:iCs/>
        </w:rPr>
        <w:t>Note: Standard errors in parentheses. *** p&lt;0.01, ** p&lt;0.05, * p&lt;0.10</w:t>
      </w:r>
    </w:p>
    <w:p w:rsidR="00B25280" w:rsidRDefault="00B25280" w:rsidP="00B25280">
      <w:pPr>
        <w:jc w:val="both"/>
        <w:rPr>
          <w:rFonts w:ascii="Times New Roman" w:hAnsi="Times New Roman" w:cs="Times New Roman"/>
        </w:rPr>
      </w:pPr>
      <w:r w:rsidRPr="00B25280">
        <w:rPr>
          <w:rFonts w:ascii="Times New Roman" w:hAnsi="Times New Roman" w:cs="Times New Roman"/>
          <w:b/>
          <w:bCs/>
        </w:rPr>
        <w:t>Hausman Test Results</w:t>
      </w:r>
      <w:r w:rsidRPr="00B25280">
        <w:rPr>
          <w:rFonts w:ascii="Times New Roman" w:hAnsi="Times New Roman" w:cs="Times New Roman"/>
        </w:rPr>
        <w:t>: χ² = 34.67*** (p&lt;0.01), indicating that fixed effects model is preferred over random effects.</w:t>
      </w:r>
    </w:p>
    <w:p w:rsidR="00DE7272" w:rsidRDefault="00DE7272" w:rsidP="00033B7C">
      <w:pPr>
        <w:pStyle w:val="NormalWeb"/>
        <w:spacing w:before="0" w:beforeAutospacing="0" w:line="276" w:lineRule="auto"/>
        <w:jc w:val="both"/>
      </w:pPr>
      <w:r>
        <w:t xml:space="preserve">The regression results confirm that electronic banking—measured by ATM and POS transaction volumes and values—has a significant positive impact on financial inclusion in Nigeria, specifically through account penetration. The fixed effects model is validated by the </w:t>
      </w:r>
      <w:proofErr w:type="spellStart"/>
      <w:r>
        <w:t>Hausman</w:t>
      </w:r>
      <w:proofErr w:type="spellEnd"/>
      <w:r>
        <w:t xml:space="preserve"> test, confirming its appropriateness over the random effects model. The high R-squared value indicates a strong model fit, suggesting that electronic banking activities explain a substantial portion of the variation in account ownership. These findings highlight the vital role of digital banking infrastructure in enhancing access to formal financial services.</w:t>
      </w:r>
    </w:p>
    <w:p w:rsidR="00023A21" w:rsidRPr="00023A21" w:rsidRDefault="00023A21" w:rsidP="00DE7272">
      <w:pPr>
        <w:rPr>
          <w:rFonts w:ascii="Times New Roman" w:hAnsi="Times New Roman" w:cs="Times New Roman"/>
          <w:b/>
          <w:bCs/>
        </w:rPr>
      </w:pPr>
      <w:r w:rsidRPr="00023A21">
        <w:rPr>
          <w:rFonts w:ascii="Times New Roman" w:hAnsi="Times New Roman" w:cs="Times New Roman"/>
          <w:b/>
          <w:bCs/>
        </w:rPr>
        <w:t>CONCLUSION</w:t>
      </w:r>
    </w:p>
    <w:p w:rsidR="00DE7272" w:rsidRDefault="00DE7272" w:rsidP="00033B7C">
      <w:pPr>
        <w:spacing w:after="100" w:afterAutospacing="1" w:line="276" w:lineRule="auto"/>
        <w:jc w:val="both"/>
        <w:rPr>
          <w:rFonts w:ascii="Times New Roman" w:eastAsia="Times New Roman" w:hAnsi="Times New Roman" w:cs="Times New Roman"/>
          <w:kern w:val="0"/>
          <w14:ligatures w14:val="none"/>
        </w:rPr>
      </w:pPr>
      <w:r w:rsidRPr="00DE7272">
        <w:rPr>
          <w:rFonts w:ascii="Times New Roman" w:eastAsia="Times New Roman" w:hAnsi="Times New Roman" w:cs="Times New Roman"/>
          <w:kern w:val="0"/>
          <w14:ligatures w14:val="none"/>
        </w:rPr>
        <w:t>This study investigated the effects of electronic banking on financial inclusion in Nigeria, focusing specifically on account penetration. The analysis was conducted using panel data from 14 quoted deposit money banks spanning the years 2019 to 2024. The findings provide important insights into the relationship between electronic banking adoption and acce</w:t>
      </w:r>
      <w:r>
        <w:rPr>
          <w:rFonts w:ascii="Times New Roman" w:eastAsia="Times New Roman" w:hAnsi="Times New Roman" w:cs="Times New Roman"/>
          <w:kern w:val="0"/>
          <w14:ligatures w14:val="none"/>
        </w:rPr>
        <w:t xml:space="preserve">ss to formal financial services. </w:t>
      </w:r>
      <w:r w:rsidRPr="00DE7272">
        <w:rPr>
          <w:rFonts w:ascii="Times New Roman" w:eastAsia="Times New Roman" w:hAnsi="Times New Roman" w:cs="Times New Roman"/>
          <w:kern w:val="0"/>
          <w14:ligatures w14:val="none"/>
        </w:rPr>
        <w:t>The regression analysis reveals that both ATM and POS transaction volumes and values have statistically significant positive effects on account penetration. This supports the view that electronic banking reduces barriers to financial access and promotes inclusion by offering more efficient and accessible service channels. Among the two electronic banking platforms, POS transactions exhibit relatively stronger effects, highlighting their role in reaching underserved populations, particularly in rural and remote areas. The results underscore the importance of expanding and optimizing digital banking infrastructure to improve financial inclusion in Nigeria.</w:t>
      </w:r>
    </w:p>
    <w:p w:rsidR="00DE7272" w:rsidRPr="00DE7272" w:rsidRDefault="00DE7272" w:rsidP="006F49C8">
      <w:pPr>
        <w:spacing w:after="100" w:afterAutospacing="1" w:line="276" w:lineRule="auto"/>
        <w:jc w:val="both"/>
        <w:rPr>
          <w:rFonts w:ascii="Times New Roman" w:hAnsi="Times New Roman" w:cs="Times New Roman"/>
        </w:rPr>
      </w:pPr>
      <w:r w:rsidRPr="00DE7272">
        <w:rPr>
          <w:rFonts w:ascii="Times New Roman" w:hAnsi="Times New Roman" w:cs="Times New Roman"/>
        </w:rPr>
        <w:t xml:space="preserve">This study concludes that electronic banking, especially through point-of-sale (POS) channels, has a statistically significant positive impact on account penetration in Nigeria’s deposit money </w:t>
      </w:r>
      <w:proofErr w:type="gramStart"/>
      <w:r w:rsidRPr="00DE7272">
        <w:rPr>
          <w:rFonts w:ascii="Times New Roman" w:hAnsi="Times New Roman" w:cs="Times New Roman"/>
        </w:rPr>
        <w:t>banks</w:t>
      </w:r>
      <w:proofErr w:type="gramEnd"/>
      <w:r w:rsidRPr="00DE7272">
        <w:rPr>
          <w:rFonts w:ascii="Times New Roman" w:hAnsi="Times New Roman" w:cs="Times New Roman"/>
        </w:rPr>
        <w:t xml:space="preserve">. The findings confirm that digital banking infrastructure helps overcome traditional barriers to financial inclusion such as distance, access, and limited physical branch coverage. Among the various electronic banking channels, POS usage proves particularly effective in </w:t>
      </w:r>
      <w:r w:rsidRPr="00DE7272">
        <w:rPr>
          <w:rFonts w:ascii="Times New Roman" w:hAnsi="Times New Roman" w:cs="Times New Roman"/>
        </w:rPr>
        <w:lastRenderedPageBreak/>
        <w:t>expanding account ownership, underscoring the importance of agent-ba</w:t>
      </w:r>
      <w:r>
        <w:rPr>
          <w:rFonts w:ascii="Times New Roman" w:hAnsi="Times New Roman" w:cs="Times New Roman"/>
        </w:rPr>
        <w:t xml:space="preserve">sed financial service delivery. </w:t>
      </w:r>
      <w:r w:rsidRPr="00DE7272">
        <w:rPr>
          <w:rFonts w:ascii="Times New Roman" w:hAnsi="Times New Roman" w:cs="Times New Roman"/>
        </w:rPr>
        <w:t>For both bank managers and policymakers, this evidence highlights the need for strategic investment in POS infrastructure and agent banking models as a path toward achieving Nigeria’s financial inclusion objectives. The study also emphasizes the necessity for collaborative efforts between regulators, financial institutions, and technology providers to ensure that electronic banking solutions remain accessible, affordable, and appropria</w:t>
      </w:r>
      <w:r>
        <w:rPr>
          <w:rFonts w:ascii="Times New Roman" w:hAnsi="Times New Roman" w:cs="Times New Roman"/>
        </w:rPr>
        <w:t>te for underserved communities. T</w:t>
      </w:r>
      <w:r w:rsidRPr="00DE7272">
        <w:rPr>
          <w:rFonts w:ascii="Times New Roman" w:hAnsi="Times New Roman" w:cs="Times New Roman"/>
        </w:rPr>
        <w:t>he research reinforces the broader perspective that technology is a critical enabler of inclusive finance. As digital financial services continue to evolve, ongoing evaluation and responsive strategies will be essential to ensure that innovations contribute meaningfully to equitable economic development and widespread financial participation.</w:t>
      </w:r>
    </w:p>
    <w:p w:rsidR="00DE7272" w:rsidRDefault="00DE7272" w:rsidP="00DE7272">
      <w:pPr>
        <w:rPr>
          <w:rFonts w:ascii="Times New Roman" w:hAnsi="Times New Roman" w:cs="Times New Roman"/>
          <w:b/>
          <w:bCs/>
        </w:rPr>
      </w:pPr>
    </w:p>
    <w:p w:rsidR="006F49C8" w:rsidRDefault="006F49C8" w:rsidP="00DE7272">
      <w:pPr>
        <w:rPr>
          <w:rFonts w:ascii="Times New Roman" w:hAnsi="Times New Roman" w:cs="Times New Roman"/>
          <w:b/>
          <w:bCs/>
        </w:rPr>
      </w:pPr>
    </w:p>
    <w:p w:rsidR="006F49C8" w:rsidRDefault="006F49C8" w:rsidP="00DE7272">
      <w:pPr>
        <w:rPr>
          <w:rFonts w:ascii="Times New Roman" w:hAnsi="Times New Roman" w:cs="Times New Roman"/>
          <w:b/>
          <w:bCs/>
        </w:rPr>
      </w:pPr>
    </w:p>
    <w:p w:rsidR="009304BA" w:rsidRPr="009304BA" w:rsidRDefault="009304BA" w:rsidP="00DE7272">
      <w:pPr>
        <w:rPr>
          <w:rFonts w:ascii="Times New Roman" w:hAnsi="Times New Roman" w:cs="Times New Roman"/>
          <w:b/>
          <w:bCs/>
        </w:rPr>
      </w:pPr>
      <w:r w:rsidRPr="009304BA">
        <w:rPr>
          <w:rFonts w:ascii="Times New Roman" w:hAnsi="Times New Roman" w:cs="Times New Roman"/>
          <w:b/>
          <w:bCs/>
        </w:rPr>
        <w:t>REFERENCES</w:t>
      </w:r>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t xml:space="preserve">African Development Bank. (2024). </w:t>
      </w:r>
      <w:r w:rsidRPr="00F956A8">
        <w:rPr>
          <w:rFonts w:ascii="Times New Roman" w:hAnsi="Times New Roman" w:cs="Times New Roman"/>
          <w:i/>
          <w:iCs/>
        </w:rPr>
        <w:t>Financial inclusion in Africa: Trends and innovations</w:t>
      </w:r>
      <w:r w:rsidRPr="00F956A8">
        <w:rPr>
          <w:rFonts w:ascii="Times New Roman" w:hAnsi="Times New Roman" w:cs="Times New Roman"/>
        </w:rPr>
        <w:t>. AfDB Publications.</w:t>
      </w:r>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t xml:space="preserve">Bloomberg. (2023, December 15). Nigeria increases financial inclusion but still far from goal. </w:t>
      </w:r>
      <w:r w:rsidRPr="00F956A8">
        <w:rPr>
          <w:rFonts w:ascii="Times New Roman" w:hAnsi="Times New Roman" w:cs="Times New Roman"/>
          <w:i/>
          <w:iCs/>
        </w:rPr>
        <w:t>Bloomberg News</w:t>
      </w:r>
      <w:r w:rsidRPr="00F956A8">
        <w:rPr>
          <w:rFonts w:ascii="Times New Roman" w:hAnsi="Times New Roman" w:cs="Times New Roman"/>
        </w:rPr>
        <w:t xml:space="preserve">. Retrieved from </w:t>
      </w:r>
      <w:hyperlink r:id="rId9" w:history="1">
        <w:r w:rsidRPr="00F956A8">
          <w:rPr>
            <w:rStyle w:val="Hyperlink"/>
            <w:rFonts w:ascii="Times New Roman" w:hAnsi="Times New Roman" w:cs="Times New Roman"/>
          </w:rPr>
          <w:t>https://www.bloomberg.com/news/articles/2023-12-15/nigeria-increases-financial-inclusion-but-still-far-from-goal</w:t>
        </w:r>
      </w:hyperlink>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t xml:space="preserve">Central Bank of Nigeria. (2024). </w:t>
      </w:r>
      <w:r w:rsidRPr="00F956A8">
        <w:rPr>
          <w:rFonts w:ascii="Times New Roman" w:hAnsi="Times New Roman" w:cs="Times New Roman"/>
          <w:i/>
          <w:iCs/>
        </w:rPr>
        <w:t>Annual report 2023</w:t>
      </w:r>
      <w:r w:rsidRPr="00F956A8">
        <w:rPr>
          <w:rFonts w:ascii="Times New Roman" w:hAnsi="Times New Roman" w:cs="Times New Roman"/>
        </w:rPr>
        <w:t>. CBN Publications.</w:t>
      </w:r>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t xml:space="preserve">Central Bank of Nigeria. (2024). Financial inclusion. </w:t>
      </w:r>
      <w:r w:rsidRPr="00F956A8">
        <w:rPr>
          <w:rFonts w:ascii="Times New Roman" w:hAnsi="Times New Roman" w:cs="Times New Roman"/>
          <w:i/>
          <w:iCs/>
        </w:rPr>
        <w:t>CBN Official Website</w:t>
      </w:r>
      <w:r w:rsidRPr="00F956A8">
        <w:rPr>
          <w:rFonts w:ascii="Times New Roman" w:hAnsi="Times New Roman" w:cs="Times New Roman"/>
        </w:rPr>
        <w:t xml:space="preserve">. Retrieved from </w:t>
      </w:r>
      <w:hyperlink r:id="rId10" w:history="1">
        <w:r w:rsidRPr="00F956A8">
          <w:rPr>
            <w:rStyle w:val="Hyperlink"/>
            <w:rFonts w:ascii="Times New Roman" w:hAnsi="Times New Roman" w:cs="Times New Roman"/>
          </w:rPr>
          <w:t>https://www.cbn.gov.ng/dfd/Financialinclusion.html</w:t>
        </w:r>
      </w:hyperlink>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t xml:space="preserve">Central Bank of Nigeria. (2023). </w:t>
      </w:r>
      <w:r w:rsidRPr="00F956A8">
        <w:rPr>
          <w:rFonts w:ascii="Times New Roman" w:hAnsi="Times New Roman" w:cs="Times New Roman"/>
          <w:i/>
          <w:iCs/>
        </w:rPr>
        <w:t>Guidelines for point of sale (POS) services in Nigeria</w:t>
      </w:r>
      <w:r w:rsidRPr="00F956A8">
        <w:rPr>
          <w:rFonts w:ascii="Times New Roman" w:hAnsi="Times New Roman" w:cs="Times New Roman"/>
        </w:rPr>
        <w:t>. CBN Regulatory Publications.</w:t>
      </w:r>
    </w:p>
    <w:p w:rsidR="00F956A8" w:rsidRPr="00F956A8" w:rsidRDefault="00F956A8" w:rsidP="00F956A8">
      <w:pPr>
        <w:jc w:val="both"/>
        <w:rPr>
          <w:rFonts w:ascii="Times New Roman" w:hAnsi="Times New Roman" w:cs="Times New Roman"/>
        </w:rPr>
      </w:pPr>
      <w:proofErr w:type="spellStart"/>
      <w:r w:rsidRPr="00F956A8">
        <w:rPr>
          <w:rFonts w:ascii="Times New Roman" w:hAnsi="Times New Roman" w:cs="Times New Roman"/>
        </w:rPr>
        <w:t>Demirgüç-Kunt</w:t>
      </w:r>
      <w:proofErr w:type="spellEnd"/>
      <w:r w:rsidRPr="00F956A8">
        <w:rPr>
          <w:rFonts w:ascii="Times New Roman" w:hAnsi="Times New Roman" w:cs="Times New Roman"/>
        </w:rPr>
        <w:t xml:space="preserve">, A., Klapper, L., Singer, D., Ansar, S., &amp; Hess, J. (2018). </w:t>
      </w:r>
      <w:r w:rsidRPr="00F956A8">
        <w:rPr>
          <w:rFonts w:ascii="Times New Roman" w:hAnsi="Times New Roman" w:cs="Times New Roman"/>
          <w:i/>
          <w:iCs/>
        </w:rPr>
        <w:t>The Global Findex Database 2017: Measuring financial inclusion and the fintech revolution</w:t>
      </w:r>
      <w:r w:rsidRPr="00F956A8">
        <w:rPr>
          <w:rFonts w:ascii="Times New Roman" w:hAnsi="Times New Roman" w:cs="Times New Roman"/>
        </w:rPr>
        <w:t>. World Bank Publications.</w:t>
      </w:r>
    </w:p>
    <w:p w:rsidR="00F956A8" w:rsidRPr="00F956A8" w:rsidRDefault="00F956A8" w:rsidP="00F956A8">
      <w:pPr>
        <w:jc w:val="both"/>
        <w:rPr>
          <w:rFonts w:ascii="Times New Roman" w:hAnsi="Times New Roman" w:cs="Times New Roman"/>
        </w:rPr>
      </w:pPr>
      <w:proofErr w:type="spellStart"/>
      <w:r w:rsidRPr="00F956A8">
        <w:rPr>
          <w:rFonts w:ascii="Times New Roman" w:hAnsi="Times New Roman" w:cs="Times New Roman"/>
        </w:rPr>
        <w:t>EFInA</w:t>
      </w:r>
      <w:proofErr w:type="spellEnd"/>
      <w:r w:rsidRPr="00F956A8">
        <w:rPr>
          <w:rFonts w:ascii="Times New Roman" w:hAnsi="Times New Roman" w:cs="Times New Roman"/>
        </w:rPr>
        <w:t xml:space="preserve">. (2023). </w:t>
      </w:r>
      <w:r w:rsidRPr="00F956A8">
        <w:rPr>
          <w:rFonts w:ascii="Times New Roman" w:hAnsi="Times New Roman" w:cs="Times New Roman"/>
          <w:i/>
          <w:iCs/>
        </w:rPr>
        <w:t>Access to Financial Services in Nigeria Survey 2023</w:t>
      </w:r>
      <w:r w:rsidRPr="00F956A8">
        <w:rPr>
          <w:rFonts w:ascii="Times New Roman" w:hAnsi="Times New Roman" w:cs="Times New Roman"/>
        </w:rPr>
        <w:t xml:space="preserve">. Enhancing Financial Innovation and Access. Retrieved from </w:t>
      </w:r>
      <w:hyperlink r:id="rId11" w:history="1">
        <w:r w:rsidRPr="00F956A8">
          <w:rPr>
            <w:rStyle w:val="Hyperlink"/>
            <w:rFonts w:ascii="Times New Roman" w:hAnsi="Times New Roman" w:cs="Times New Roman"/>
          </w:rPr>
          <w:t>https://efina.org.ng/our-work/research/access/</w:t>
        </w:r>
      </w:hyperlink>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t xml:space="preserve">Greene, W. H. (2020). </w:t>
      </w:r>
      <w:r w:rsidRPr="00F956A8">
        <w:rPr>
          <w:rFonts w:ascii="Times New Roman" w:hAnsi="Times New Roman" w:cs="Times New Roman"/>
          <w:i/>
          <w:iCs/>
        </w:rPr>
        <w:t>Econometric analysis</w:t>
      </w:r>
      <w:r w:rsidRPr="00F956A8">
        <w:rPr>
          <w:rFonts w:ascii="Times New Roman" w:hAnsi="Times New Roman" w:cs="Times New Roman"/>
        </w:rPr>
        <w:t xml:space="preserve"> (8th ed.). Pearson Education.</w:t>
      </w:r>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t xml:space="preserve">Gujarati, D. N., &amp; Porter, D. C. (2019). </w:t>
      </w:r>
      <w:r w:rsidRPr="00F956A8">
        <w:rPr>
          <w:rFonts w:ascii="Times New Roman" w:hAnsi="Times New Roman" w:cs="Times New Roman"/>
          <w:i/>
          <w:iCs/>
        </w:rPr>
        <w:t>Basic econometrics</w:t>
      </w:r>
      <w:r w:rsidRPr="00F956A8">
        <w:rPr>
          <w:rFonts w:ascii="Times New Roman" w:hAnsi="Times New Roman" w:cs="Times New Roman"/>
        </w:rPr>
        <w:t xml:space="preserve"> (5th ed.). McGraw-Hill Education.</w:t>
      </w:r>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t xml:space="preserve">International Monetary Fund. (2023). Nigeria—Fostering financial inclusion through digital financial services. </w:t>
      </w:r>
      <w:r w:rsidRPr="00F956A8">
        <w:rPr>
          <w:rFonts w:ascii="Times New Roman" w:hAnsi="Times New Roman" w:cs="Times New Roman"/>
          <w:i/>
          <w:iCs/>
        </w:rPr>
        <w:t>IMF Selected Issues Papers</w:t>
      </w:r>
      <w:r w:rsidRPr="00F956A8">
        <w:rPr>
          <w:rFonts w:ascii="Times New Roman" w:hAnsi="Times New Roman" w:cs="Times New Roman"/>
        </w:rPr>
        <w:t xml:space="preserve">, 2023(020). Retrieved from </w:t>
      </w:r>
      <w:hyperlink r:id="rId12" w:history="1">
        <w:r w:rsidRPr="00F956A8">
          <w:rPr>
            <w:rStyle w:val="Hyperlink"/>
            <w:rFonts w:ascii="Times New Roman" w:hAnsi="Times New Roman" w:cs="Times New Roman"/>
          </w:rPr>
          <w:t>https://www.imf.org/en/Publications/selected-issues-papers/Issues/2023/03/07/Nigeria-Fostering-Financial-Inclusion-through-Digital-Financial-Services-Nigeria-Nigeria-530633</w:t>
        </w:r>
      </w:hyperlink>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t xml:space="preserve">International Monetary Fund. (2024). </w:t>
      </w:r>
      <w:r w:rsidRPr="00F956A8">
        <w:rPr>
          <w:rFonts w:ascii="Times New Roman" w:hAnsi="Times New Roman" w:cs="Times New Roman"/>
          <w:i/>
          <w:iCs/>
        </w:rPr>
        <w:t xml:space="preserve">Global financial stability report: Financial inclusion and </w:t>
      </w:r>
      <w:proofErr w:type="spellStart"/>
      <w:r w:rsidRPr="00F956A8">
        <w:rPr>
          <w:rFonts w:ascii="Times New Roman" w:hAnsi="Times New Roman" w:cs="Times New Roman"/>
          <w:i/>
          <w:iCs/>
        </w:rPr>
        <w:t>macrofinancial</w:t>
      </w:r>
      <w:proofErr w:type="spellEnd"/>
      <w:r w:rsidRPr="00F956A8">
        <w:rPr>
          <w:rFonts w:ascii="Times New Roman" w:hAnsi="Times New Roman" w:cs="Times New Roman"/>
          <w:i/>
          <w:iCs/>
        </w:rPr>
        <w:t xml:space="preserve"> stability</w:t>
      </w:r>
      <w:r w:rsidRPr="00F956A8">
        <w:rPr>
          <w:rFonts w:ascii="Times New Roman" w:hAnsi="Times New Roman" w:cs="Times New Roman"/>
        </w:rPr>
        <w:t>. IMF Publications.</w:t>
      </w:r>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t xml:space="preserve">Koomson, I., Villano, R. A., &amp; Hadley, D. (2024). Fintech, financial inclusion, and sustainable development in the African region. </w:t>
      </w:r>
      <w:r w:rsidRPr="00F956A8">
        <w:rPr>
          <w:rFonts w:ascii="Times New Roman" w:hAnsi="Times New Roman" w:cs="Times New Roman"/>
          <w:i/>
          <w:iCs/>
        </w:rPr>
        <w:t>Frontiers in Applied Mathematics and Statistics</w:t>
      </w:r>
      <w:r w:rsidRPr="00F956A8">
        <w:rPr>
          <w:rFonts w:ascii="Times New Roman" w:hAnsi="Times New Roman" w:cs="Times New Roman"/>
        </w:rPr>
        <w:t xml:space="preserve">, 12. </w:t>
      </w:r>
      <w:hyperlink r:id="rId13" w:history="1">
        <w:r w:rsidRPr="00F956A8">
          <w:rPr>
            <w:rStyle w:val="Hyperlink"/>
            <w:rFonts w:ascii="Times New Roman" w:hAnsi="Times New Roman" w:cs="Times New Roman"/>
          </w:rPr>
          <w:t>https://doi.org/10.3389/fams.2024.1276218</w:t>
        </w:r>
      </w:hyperlink>
    </w:p>
    <w:p w:rsidR="00F956A8" w:rsidRPr="00F956A8" w:rsidRDefault="00F956A8" w:rsidP="00F956A8">
      <w:pPr>
        <w:jc w:val="both"/>
        <w:rPr>
          <w:rFonts w:ascii="Times New Roman" w:hAnsi="Times New Roman" w:cs="Times New Roman"/>
        </w:rPr>
      </w:pPr>
      <w:proofErr w:type="spellStart"/>
      <w:r w:rsidRPr="00F956A8">
        <w:rPr>
          <w:rFonts w:ascii="Times New Roman" w:hAnsi="Times New Roman" w:cs="Times New Roman"/>
        </w:rPr>
        <w:t>Nairametrics</w:t>
      </w:r>
      <w:proofErr w:type="spellEnd"/>
      <w:r w:rsidRPr="00F956A8">
        <w:rPr>
          <w:rFonts w:ascii="Times New Roman" w:hAnsi="Times New Roman" w:cs="Times New Roman"/>
        </w:rPr>
        <w:t xml:space="preserve">. (2025, February 20). From EMTL to ATM: Multiple charges cast shadows over Nigeria's financial inclusion efforts. </w:t>
      </w:r>
      <w:proofErr w:type="spellStart"/>
      <w:r w:rsidRPr="00F956A8">
        <w:rPr>
          <w:rFonts w:ascii="Times New Roman" w:hAnsi="Times New Roman" w:cs="Times New Roman"/>
          <w:i/>
          <w:iCs/>
        </w:rPr>
        <w:t>Nairametrics</w:t>
      </w:r>
      <w:proofErr w:type="spellEnd"/>
      <w:r w:rsidRPr="00F956A8">
        <w:rPr>
          <w:rFonts w:ascii="Times New Roman" w:hAnsi="Times New Roman" w:cs="Times New Roman"/>
        </w:rPr>
        <w:t xml:space="preserve">. Retrieved from </w:t>
      </w:r>
      <w:hyperlink r:id="rId14" w:history="1">
        <w:r w:rsidRPr="00F956A8">
          <w:rPr>
            <w:rStyle w:val="Hyperlink"/>
            <w:rFonts w:ascii="Times New Roman" w:hAnsi="Times New Roman" w:cs="Times New Roman"/>
          </w:rPr>
          <w:t>https://nairametrics.com/2025/02/20/from-emtl-to-atm-multiple-charges-cast-shadows-over-nigerias-financial-inclusion-efforts/</w:t>
        </w:r>
      </w:hyperlink>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t xml:space="preserve">National Bureau of Statistics. (2024). </w:t>
      </w:r>
      <w:r w:rsidRPr="00F956A8">
        <w:rPr>
          <w:rFonts w:ascii="Times New Roman" w:hAnsi="Times New Roman" w:cs="Times New Roman"/>
          <w:i/>
          <w:iCs/>
        </w:rPr>
        <w:t>Nigeria demographic and household survey 2023</w:t>
      </w:r>
      <w:r w:rsidRPr="00F956A8">
        <w:rPr>
          <w:rFonts w:ascii="Times New Roman" w:hAnsi="Times New Roman" w:cs="Times New Roman"/>
        </w:rPr>
        <w:t>. NBS Publications.</w:t>
      </w:r>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t xml:space="preserve">Nigeria Inter-Bank Settlement System. (2024). </w:t>
      </w:r>
      <w:r w:rsidRPr="00F956A8">
        <w:rPr>
          <w:rFonts w:ascii="Times New Roman" w:hAnsi="Times New Roman" w:cs="Times New Roman"/>
          <w:i/>
          <w:iCs/>
        </w:rPr>
        <w:t>Electronic payment channels report 2023</w:t>
      </w:r>
      <w:r w:rsidRPr="00F956A8">
        <w:rPr>
          <w:rFonts w:ascii="Times New Roman" w:hAnsi="Times New Roman" w:cs="Times New Roman"/>
        </w:rPr>
        <w:t>. NIBSS Publications.</w:t>
      </w:r>
    </w:p>
    <w:p w:rsidR="00F956A8" w:rsidRPr="00F956A8" w:rsidRDefault="00F956A8" w:rsidP="00F956A8">
      <w:pPr>
        <w:jc w:val="both"/>
        <w:rPr>
          <w:rFonts w:ascii="Times New Roman" w:hAnsi="Times New Roman" w:cs="Times New Roman"/>
        </w:rPr>
      </w:pPr>
      <w:proofErr w:type="spellStart"/>
      <w:r w:rsidRPr="00F956A8">
        <w:rPr>
          <w:rFonts w:ascii="Times New Roman" w:hAnsi="Times New Roman" w:cs="Times New Roman"/>
        </w:rPr>
        <w:t>Ozili</w:t>
      </w:r>
      <w:proofErr w:type="spellEnd"/>
      <w:r w:rsidRPr="00F956A8">
        <w:rPr>
          <w:rFonts w:ascii="Times New Roman" w:hAnsi="Times New Roman" w:cs="Times New Roman"/>
        </w:rPr>
        <w:t xml:space="preserve">, P. K. (2023). Financial inclusion research in Nigeria: A review. </w:t>
      </w:r>
      <w:r w:rsidRPr="00F956A8">
        <w:rPr>
          <w:rFonts w:ascii="Times New Roman" w:hAnsi="Times New Roman" w:cs="Times New Roman"/>
          <w:i/>
          <w:iCs/>
        </w:rPr>
        <w:t>Journal of African Development</w:t>
      </w:r>
      <w:r w:rsidRPr="00F956A8">
        <w:rPr>
          <w:rFonts w:ascii="Times New Roman" w:hAnsi="Times New Roman" w:cs="Times New Roman"/>
        </w:rPr>
        <w:t>, 25(2), 45-68.</w:t>
      </w:r>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t xml:space="preserve">Rogers, E. M. (2003). </w:t>
      </w:r>
      <w:r w:rsidRPr="00F956A8">
        <w:rPr>
          <w:rFonts w:ascii="Times New Roman" w:hAnsi="Times New Roman" w:cs="Times New Roman"/>
          <w:i/>
          <w:iCs/>
        </w:rPr>
        <w:t>Diffusion of innovations</w:t>
      </w:r>
      <w:r w:rsidRPr="00F956A8">
        <w:rPr>
          <w:rFonts w:ascii="Times New Roman" w:hAnsi="Times New Roman" w:cs="Times New Roman"/>
        </w:rPr>
        <w:t xml:space="preserve"> (5th ed.). Free Press.</w:t>
      </w:r>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t xml:space="preserve">Wooldridge, J. M. (2019). </w:t>
      </w:r>
      <w:r w:rsidRPr="00F956A8">
        <w:rPr>
          <w:rFonts w:ascii="Times New Roman" w:hAnsi="Times New Roman" w:cs="Times New Roman"/>
          <w:i/>
          <w:iCs/>
        </w:rPr>
        <w:t>Introductory econometrics: A modern approach</w:t>
      </w:r>
      <w:r w:rsidRPr="00F956A8">
        <w:rPr>
          <w:rFonts w:ascii="Times New Roman" w:hAnsi="Times New Roman" w:cs="Times New Roman"/>
        </w:rPr>
        <w:t xml:space="preserve"> (7th ed.). Cengage Learning.</w:t>
      </w:r>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t xml:space="preserve">Women's World Banking. (2025, February 4). Financial inclusion in Nigeria: NGX regulation limited case study. </w:t>
      </w:r>
      <w:r w:rsidRPr="00F956A8">
        <w:rPr>
          <w:rFonts w:ascii="Times New Roman" w:hAnsi="Times New Roman" w:cs="Times New Roman"/>
          <w:i/>
          <w:iCs/>
        </w:rPr>
        <w:t>Women's World Banking Insights</w:t>
      </w:r>
      <w:r w:rsidRPr="00F956A8">
        <w:rPr>
          <w:rFonts w:ascii="Times New Roman" w:hAnsi="Times New Roman" w:cs="Times New Roman"/>
        </w:rPr>
        <w:t xml:space="preserve">. Retrieved from </w:t>
      </w:r>
      <w:hyperlink r:id="rId15" w:history="1">
        <w:r w:rsidRPr="00F956A8">
          <w:rPr>
            <w:rStyle w:val="Hyperlink"/>
            <w:rFonts w:ascii="Times New Roman" w:hAnsi="Times New Roman" w:cs="Times New Roman"/>
          </w:rPr>
          <w:t>https://www.womensworldbanking.org/insights/financial-inclusion-in-nigeria-ngx-regulation-limited-case-study/</w:t>
        </w:r>
      </w:hyperlink>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t xml:space="preserve">Wondimu, T., </w:t>
      </w:r>
      <w:proofErr w:type="spellStart"/>
      <w:r w:rsidRPr="00F956A8">
        <w:rPr>
          <w:rFonts w:ascii="Times New Roman" w:hAnsi="Times New Roman" w:cs="Times New Roman"/>
        </w:rPr>
        <w:t>Megersa</w:t>
      </w:r>
      <w:proofErr w:type="spellEnd"/>
      <w:r w:rsidRPr="00F956A8">
        <w:rPr>
          <w:rFonts w:ascii="Times New Roman" w:hAnsi="Times New Roman" w:cs="Times New Roman"/>
        </w:rPr>
        <w:t xml:space="preserve">, K., &amp; Bekele, E. (2024). The effect of financial technology on financial inclusion in Ethiopia during the digital economy era. </w:t>
      </w:r>
      <w:r w:rsidRPr="00F956A8">
        <w:rPr>
          <w:rFonts w:ascii="Times New Roman" w:hAnsi="Times New Roman" w:cs="Times New Roman"/>
          <w:i/>
          <w:iCs/>
        </w:rPr>
        <w:t>Cogent Social Sciences</w:t>
      </w:r>
      <w:r w:rsidRPr="00F956A8">
        <w:rPr>
          <w:rFonts w:ascii="Times New Roman" w:hAnsi="Times New Roman" w:cs="Times New Roman"/>
        </w:rPr>
        <w:t xml:space="preserve">, 10(1). </w:t>
      </w:r>
      <w:hyperlink r:id="rId16" w:history="1">
        <w:r w:rsidRPr="00F956A8">
          <w:rPr>
            <w:rStyle w:val="Hyperlink"/>
            <w:rFonts w:ascii="Times New Roman" w:hAnsi="Times New Roman" w:cs="Times New Roman"/>
          </w:rPr>
          <w:t>https://doi.org/10.1080/23311886.2024.2309000</w:t>
        </w:r>
      </w:hyperlink>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t xml:space="preserve">World Bank. (2024). </w:t>
      </w:r>
      <w:r w:rsidRPr="00F956A8">
        <w:rPr>
          <w:rFonts w:ascii="Times New Roman" w:hAnsi="Times New Roman" w:cs="Times New Roman"/>
          <w:i/>
          <w:iCs/>
        </w:rPr>
        <w:t>Global Findex Database 2024: Financial inclusion, digital payments, and resilience in the age of COVID-19</w:t>
      </w:r>
      <w:r w:rsidRPr="00F956A8">
        <w:rPr>
          <w:rFonts w:ascii="Times New Roman" w:hAnsi="Times New Roman" w:cs="Times New Roman"/>
        </w:rPr>
        <w:t>. World Bank Publications.</w:t>
      </w:r>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t xml:space="preserve">World Bank. (2024). Financial inclusion overview. </w:t>
      </w:r>
      <w:r w:rsidRPr="00F956A8">
        <w:rPr>
          <w:rFonts w:ascii="Times New Roman" w:hAnsi="Times New Roman" w:cs="Times New Roman"/>
          <w:i/>
          <w:iCs/>
        </w:rPr>
        <w:t>World Bank Topics</w:t>
      </w:r>
      <w:r w:rsidRPr="00F956A8">
        <w:rPr>
          <w:rFonts w:ascii="Times New Roman" w:hAnsi="Times New Roman" w:cs="Times New Roman"/>
        </w:rPr>
        <w:t xml:space="preserve">. Retrieved from </w:t>
      </w:r>
      <w:hyperlink r:id="rId17" w:history="1">
        <w:r w:rsidRPr="00F956A8">
          <w:rPr>
            <w:rStyle w:val="Hyperlink"/>
            <w:rFonts w:ascii="Times New Roman" w:hAnsi="Times New Roman" w:cs="Times New Roman"/>
          </w:rPr>
          <w:t>https://www.worldbank.org/en/topic/financialinclusion/overview</w:t>
        </w:r>
      </w:hyperlink>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t xml:space="preserve">World Economic Forum. (2023, November). Africa is the world leader in digital and mobile banking. </w:t>
      </w:r>
      <w:r w:rsidRPr="00F956A8">
        <w:rPr>
          <w:rFonts w:ascii="Times New Roman" w:hAnsi="Times New Roman" w:cs="Times New Roman"/>
          <w:i/>
          <w:iCs/>
        </w:rPr>
        <w:t>World Economic Forum Stories</w:t>
      </w:r>
      <w:r w:rsidRPr="00F956A8">
        <w:rPr>
          <w:rFonts w:ascii="Times New Roman" w:hAnsi="Times New Roman" w:cs="Times New Roman"/>
        </w:rPr>
        <w:t xml:space="preserve">. Retrieved from </w:t>
      </w:r>
      <w:hyperlink r:id="rId18" w:history="1">
        <w:r w:rsidRPr="00F956A8">
          <w:rPr>
            <w:rStyle w:val="Hyperlink"/>
            <w:rFonts w:ascii="Times New Roman" w:hAnsi="Times New Roman" w:cs="Times New Roman"/>
          </w:rPr>
          <w:t>https://www.weforum.org/stories/2023/11/africa-digital-mobile-banking-financial-inclusion/</w:t>
        </w:r>
      </w:hyperlink>
    </w:p>
    <w:p w:rsidR="00F956A8" w:rsidRPr="00F956A8" w:rsidRDefault="00F956A8" w:rsidP="00F956A8">
      <w:pPr>
        <w:jc w:val="both"/>
        <w:rPr>
          <w:rFonts w:ascii="Times New Roman" w:hAnsi="Times New Roman" w:cs="Times New Roman"/>
        </w:rPr>
      </w:pPr>
      <w:r w:rsidRPr="00F956A8">
        <w:rPr>
          <w:rFonts w:ascii="Times New Roman" w:hAnsi="Times New Roman" w:cs="Times New Roman"/>
        </w:rPr>
        <w:lastRenderedPageBreak/>
        <w:t xml:space="preserve">Zins, A., &amp; Weill, L. (2016). The determinants of financial inclusion in Africa. </w:t>
      </w:r>
      <w:r w:rsidRPr="00F956A8">
        <w:rPr>
          <w:rFonts w:ascii="Times New Roman" w:hAnsi="Times New Roman" w:cs="Times New Roman"/>
          <w:i/>
          <w:iCs/>
        </w:rPr>
        <w:t>Review of Development Finance</w:t>
      </w:r>
      <w:r w:rsidRPr="00F956A8">
        <w:rPr>
          <w:rFonts w:ascii="Times New Roman" w:hAnsi="Times New Roman" w:cs="Times New Roman"/>
        </w:rPr>
        <w:t>, 6(1), 46-57.</w:t>
      </w:r>
    </w:p>
    <w:sectPr w:rsidR="00F956A8" w:rsidRPr="00F95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022C"/>
    <w:multiLevelType w:val="hybridMultilevel"/>
    <w:tmpl w:val="F0E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D1F1E"/>
    <w:multiLevelType w:val="multilevel"/>
    <w:tmpl w:val="F2B8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B963FA"/>
    <w:multiLevelType w:val="multilevel"/>
    <w:tmpl w:val="61FEE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B61DEF"/>
    <w:multiLevelType w:val="multilevel"/>
    <w:tmpl w:val="2840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4A0E8C"/>
    <w:multiLevelType w:val="multilevel"/>
    <w:tmpl w:val="6850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AB61EE"/>
    <w:multiLevelType w:val="multilevel"/>
    <w:tmpl w:val="56EE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0A6E58"/>
    <w:multiLevelType w:val="multilevel"/>
    <w:tmpl w:val="0748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150598"/>
    <w:multiLevelType w:val="multilevel"/>
    <w:tmpl w:val="7F4E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42087F"/>
    <w:multiLevelType w:val="multilevel"/>
    <w:tmpl w:val="28CEA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1016FD"/>
    <w:multiLevelType w:val="hybridMultilevel"/>
    <w:tmpl w:val="26724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654311"/>
    <w:multiLevelType w:val="multilevel"/>
    <w:tmpl w:val="4632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3A7F38"/>
    <w:multiLevelType w:val="multilevel"/>
    <w:tmpl w:val="97E8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054791"/>
    <w:multiLevelType w:val="multilevel"/>
    <w:tmpl w:val="8AE4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8"/>
  </w:num>
  <w:num w:numId="4">
    <w:abstractNumId w:val="2"/>
  </w:num>
  <w:num w:numId="5">
    <w:abstractNumId w:val="6"/>
  </w:num>
  <w:num w:numId="6">
    <w:abstractNumId w:val="11"/>
  </w:num>
  <w:num w:numId="7">
    <w:abstractNumId w:val="10"/>
  </w:num>
  <w:num w:numId="8">
    <w:abstractNumId w:val="5"/>
  </w:num>
  <w:num w:numId="9">
    <w:abstractNumId w:val="12"/>
  </w:num>
  <w:num w:numId="10">
    <w:abstractNumId w:val="4"/>
  </w:num>
  <w:num w:numId="11">
    <w:abstractNumId w:val="7"/>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304BA"/>
    <w:rsid w:val="000123A7"/>
    <w:rsid w:val="00023A21"/>
    <w:rsid w:val="00033B7C"/>
    <w:rsid w:val="00072E65"/>
    <w:rsid w:val="000807CB"/>
    <w:rsid w:val="00086680"/>
    <w:rsid w:val="000872B0"/>
    <w:rsid w:val="000B7D49"/>
    <w:rsid w:val="000F0226"/>
    <w:rsid w:val="00105A73"/>
    <w:rsid w:val="00165439"/>
    <w:rsid w:val="001827A1"/>
    <w:rsid w:val="001A5310"/>
    <w:rsid w:val="001C0B94"/>
    <w:rsid w:val="001C3CF1"/>
    <w:rsid w:val="00232983"/>
    <w:rsid w:val="0024161E"/>
    <w:rsid w:val="00245ECD"/>
    <w:rsid w:val="00325E55"/>
    <w:rsid w:val="00361EED"/>
    <w:rsid w:val="00387B72"/>
    <w:rsid w:val="003A2C3A"/>
    <w:rsid w:val="003A2EC8"/>
    <w:rsid w:val="003B15CA"/>
    <w:rsid w:val="00410AA8"/>
    <w:rsid w:val="00447047"/>
    <w:rsid w:val="004A6A96"/>
    <w:rsid w:val="004D4229"/>
    <w:rsid w:val="004D7922"/>
    <w:rsid w:val="005063AF"/>
    <w:rsid w:val="005258C3"/>
    <w:rsid w:val="00534603"/>
    <w:rsid w:val="005509A5"/>
    <w:rsid w:val="006740E2"/>
    <w:rsid w:val="006B0E29"/>
    <w:rsid w:val="006E6590"/>
    <w:rsid w:val="006F49C8"/>
    <w:rsid w:val="00705727"/>
    <w:rsid w:val="00734159"/>
    <w:rsid w:val="007658C0"/>
    <w:rsid w:val="00827976"/>
    <w:rsid w:val="008B3679"/>
    <w:rsid w:val="00914B9E"/>
    <w:rsid w:val="009304BA"/>
    <w:rsid w:val="00935A16"/>
    <w:rsid w:val="009452D9"/>
    <w:rsid w:val="009D668D"/>
    <w:rsid w:val="00A03BD8"/>
    <w:rsid w:val="00A1360B"/>
    <w:rsid w:val="00A37ACF"/>
    <w:rsid w:val="00AC2798"/>
    <w:rsid w:val="00B25280"/>
    <w:rsid w:val="00B61964"/>
    <w:rsid w:val="00BB6B87"/>
    <w:rsid w:val="00BD571E"/>
    <w:rsid w:val="00C43B72"/>
    <w:rsid w:val="00CA1310"/>
    <w:rsid w:val="00D15F55"/>
    <w:rsid w:val="00D30054"/>
    <w:rsid w:val="00D339DB"/>
    <w:rsid w:val="00D76F25"/>
    <w:rsid w:val="00D83F9A"/>
    <w:rsid w:val="00DC1E8D"/>
    <w:rsid w:val="00DE7272"/>
    <w:rsid w:val="00E70004"/>
    <w:rsid w:val="00EA577E"/>
    <w:rsid w:val="00ED04F3"/>
    <w:rsid w:val="00EF44D1"/>
    <w:rsid w:val="00F02C23"/>
    <w:rsid w:val="00F07AEF"/>
    <w:rsid w:val="00F07E4B"/>
    <w:rsid w:val="00F1349C"/>
    <w:rsid w:val="00F95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4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04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04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04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04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0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4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04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04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04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04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0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4BA"/>
    <w:rPr>
      <w:rFonts w:eastAsiaTheme="majorEastAsia" w:cstheme="majorBidi"/>
      <w:color w:val="272727" w:themeColor="text1" w:themeTint="D8"/>
    </w:rPr>
  </w:style>
  <w:style w:type="paragraph" w:styleId="Title">
    <w:name w:val="Title"/>
    <w:basedOn w:val="Normal"/>
    <w:next w:val="Normal"/>
    <w:link w:val="TitleChar"/>
    <w:uiPriority w:val="10"/>
    <w:qFormat/>
    <w:rsid w:val="00930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4BA"/>
    <w:pPr>
      <w:spacing w:before="160"/>
      <w:jc w:val="center"/>
    </w:pPr>
    <w:rPr>
      <w:i/>
      <w:iCs/>
      <w:color w:val="404040" w:themeColor="text1" w:themeTint="BF"/>
    </w:rPr>
  </w:style>
  <w:style w:type="character" w:customStyle="1" w:styleId="QuoteChar">
    <w:name w:val="Quote Char"/>
    <w:basedOn w:val="DefaultParagraphFont"/>
    <w:link w:val="Quote"/>
    <w:uiPriority w:val="29"/>
    <w:rsid w:val="009304BA"/>
    <w:rPr>
      <w:i/>
      <w:iCs/>
      <w:color w:val="404040" w:themeColor="text1" w:themeTint="BF"/>
    </w:rPr>
  </w:style>
  <w:style w:type="paragraph" w:styleId="ListParagraph">
    <w:name w:val="List Paragraph"/>
    <w:basedOn w:val="Normal"/>
    <w:uiPriority w:val="34"/>
    <w:qFormat/>
    <w:rsid w:val="009304BA"/>
    <w:pPr>
      <w:ind w:left="720"/>
      <w:contextualSpacing/>
    </w:pPr>
  </w:style>
  <w:style w:type="character" w:styleId="IntenseEmphasis">
    <w:name w:val="Intense Emphasis"/>
    <w:basedOn w:val="DefaultParagraphFont"/>
    <w:uiPriority w:val="21"/>
    <w:qFormat/>
    <w:rsid w:val="009304BA"/>
    <w:rPr>
      <w:i/>
      <w:iCs/>
      <w:color w:val="2F5496" w:themeColor="accent1" w:themeShade="BF"/>
    </w:rPr>
  </w:style>
  <w:style w:type="paragraph" w:styleId="IntenseQuote">
    <w:name w:val="Intense Quote"/>
    <w:basedOn w:val="Normal"/>
    <w:next w:val="Normal"/>
    <w:link w:val="IntenseQuoteChar"/>
    <w:uiPriority w:val="30"/>
    <w:qFormat/>
    <w:rsid w:val="009304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04BA"/>
    <w:rPr>
      <w:i/>
      <w:iCs/>
      <w:color w:val="2F5496" w:themeColor="accent1" w:themeShade="BF"/>
    </w:rPr>
  </w:style>
  <w:style w:type="character" w:styleId="IntenseReference">
    <w:name w:val="Intense Reference"/>
    <w:basedOn w:val="DefaultParagraphFont"/>
    <w:uiPriority w:val="32"/>
    <w:qFormat/>
    <w:rsid w:val="009304BA"/>
    <w:rPr>
      <w:b/>
      <w:bCs/>
      <w:smallCaps/>
      <w:color w:val="2F5496" w:themeColor="accent1" w:themeShade="BF"/>
      <w:spacing w:val="5"/>
    </w:rPr>
  </w:style>
  <w:style w:type="character" w:styleId="PlaceholderText">
    <w:name w:val="Placeholder Text"/>
    <w:basedOn w:val="DefaultParagraphFont"/>
    <w:uiPriority w:val="99"/>
    <w:semiHidden/>
    <w:rsid w:val="0024161E"/>
    <w:rPr>
      <w:color w:val="666666"/>
    </w:rPr>
  </w:style>
  <w:style w:type="character" w:styleId="Hyperlink">
    <w:name w:val="Hyperlink"/>
    <w:basedOn w:val="DefaultParagraphFont"/>
    <w:uiPriority w:val="99"/>
    <w:unhideWhenUsed/>
    <w:rsid w:val="00F956A8"/>
    <w:rPr>
      <w:color w:val="0563C1" w:themeColor="hyperlink"/>
      <w:u w:val="single"/>
    </w:rPr>
  </w:style>
  <w:style w:type="character" w:customStyle="1" w:styleId="UnresolvedMention">
    <w:name w:val="Unresolved Mention"/>
    <w:basedOn w:val="DefaultParagraphFont"/>
    <w:uiPriority w:val="99"/>
    <w:semiHidden/>
    <w:unhideWhenUsed/>
    <w:rsid w:val="00F956A8"/>
    <w:rPr>
      <w:color w:val="605E5C"/>
      <w:shd w:val="clear" w:color="auto" w:fill="E1DFDD"/>
    </w:rPr>
  </w:style>
  <w:style w:type="paragraph" w:styleId="BalloonText">
    <w:name w:val="Balloon Text"/>
    <w:basedOn w:val="Normal"/>
    <w:link w:val="BalloonTextChar"/>
    <w:uiPriority w:val="99"/>
    <w:semiHidden/>
    <w:unhideWhenUsed/>
    <w:rsid w:val="00945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2D9"/>
    <w:rPr>
      <w:rFonts w:ascii="Tahoma" w:hAnsi="Tahoma" w:cs="Tahoma"/>
      <w:sz w:val="16"/>
      <w:szCs w:val="16"/>
    </w:rPr>
  </w:style>
  <w:style w:type="paragraph" w:styleId="NormalWeb">
    <w:name w:val="Normal (Web)"/>
    <w:basedOn w:val="Normal"/>
    <w:uiPriority w:val="99"/>
    <w:semiHidden/>
    <w:unhideWhenUsed/>
    <w:rsid w:val="00DE7272"/>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DE72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730">
      <w:bodyDiv w:val="1"/>
      <w:marLeft w:val="0"/>
      <w:marRight w:val="0"/>
      <w:marTop w:val="0"/>
      <w:marBottom w:val="0"/>
      <w:divBdr>
        <w:top w:val="none" w:sz="0" w:space="0" w:color="auto"/>
        <w:left w:val="none" w:sz="0" w:space="0" w:color="auto"/>
        <w:bottom w:val="none" w:sz="0" w:space="0" w:color="auto"/>
        <w:right w:val="none" w:sz="0" w:space="0" w:color="auto"/>
      </w:divBdr>
    </w:div>
    <w:div w:id="32849263">
      <w:bodyDiv w:val="1"/>
      <w:marLeft w:val="0"/>
      <w:marRight w:val="0"/>
      <w:marTop w:val="0"/>
      <w:marBottom w:val="0"/>
      <w:divBdr>
        <w:top w:val="none" w:sz="0" w:space="0" w:color="auto"/>
        <w:left w:val="none" w:sz="0" w:space="0" w:color="auto"/>
        <w:bottom w:val="none" w:sz="0" w:space="0" w:color="auto"/>
        <w:right w:val="none" w:sz="0" w:space="0" w:color="auto"/>
      </w:divBdr>
    </w:div>
    <w:div w:id="84230605">
      <w:bodyDiv w:val="1"/>
      <w:marLeft w:val="0"/>
      <w:marRight w:val="0"/>
      <w:marTop w:val="0"/>
      <w:marBottom w:val="0"/>
      <w:divBdr>
        <w:top w:val="none" w:sz="0" w:space="0" w:color="auto"/>
        <w:left w:val="none" w:sz="0" w:space="0" w:color="auto"/>
        <w:bottom w:val="none" w:sz="0" w:space="0" w:color="auto"/>
        <w:right w:val="none" w:sz="0" w:space="0" w:color="auto"/>
      </w:divBdr>
    </w:div>
    <w:div w:id="97140563">
      <w:bodyDiv w:val="1"/>
      <w:marLeft w:val="0"/>
      <w:marRight w:val="0"/>
      <w:marTop w:val="0"/>
      <w:marBottom w:val="0"/>
      <w:divBdr>
        <w:top w:val="none" w:sz="0" w:space="0" w:color="auto"/>
        <w:left w:val="none" w:sz="0" w:space="0" w:color="auto"/>
        <w:bottom w:val="none" w:sz="0" w:space="0" w:color="auto"/>
        <w:right w:val="none" w:sz="0" w:space="0" w:color="auto"/>
      </w:divBdr>
    </w:div>
    <w:div w:id="106588239">
      <w:bodyDiv w:val="1"/>
      <w:marLeft w:val="0"/>
      <w:marRight w:val="0"/>
      <w:marTop w:val="0"/>
      <w:marBottom w:val="0"/>
      <w:divBdr>
        <w:top w:val="none" w:sz="0" w:space="0" w:color="auto"/>
        <w:left w:val="none" w:sz="0" w:space="0" w:color="auto"/>
        <w:bottom w:val="none" w:sz="0" w:space="0" w:color="auto"/>
        <w:right w:val="none" w:sz="0" w:space="0" w:color="auto"/>
      </w:divBdr>
    </w:div>
    <w:div w:id="111941021">
      <w:bodyDiv w:val="1"/>
      <w:marLeft w:val="0"/>
      <w:marRight w:val="0"/>
      <w:marTop w:val="0"/>
      <w:marBottom w:val="0"/>
      <w:divBdr>
        <w:top w:val="none" w:sz="0" w:space="0" w:color="auto"/>
        <w:left w:val="none" w:sz="0" w:space="0" w:color="auto"/>
        <w:bottom w:val="none" w:sz="0" w:space="0" w:color="auto"/>
        <w:right w:val="none" w:sz="0" w:space="0" w:color="auto"/>
      </w:divBdr>
    </w:div>
    <w:div w:id="122385253">
      <w:bodyDiv w:val="1"/>
      <w:marLeft w:val="0"/>
      <w:marRight w:val="0"/>
      <w:marTop w:val="0"/>
      <w:marBottom w:val="0"/>
      <w:divBdr>
        <w:top w:val="none" w:sz="0" w:space="0" w:color="auto"/>
        <w:left w:val="none" w:sz="0" w:space="0" w:color="auto"/>
        <w:bottom w:val="none" w:sz="0" w:space="0" w:color="auto"/>
        <w:right w:val="none" w:sz="0" w:space="0" w:color="auto"/>
      </w:divBdr>
    </w:div>
    <w:div w:id="167257077">
      <w:bodyDiv w:val="1"/>
      <w:marLeft w:val="0"/>
      <w:marRight w:val="0"/>
      <w:marTop w:val="0"/>
      <w:marBottom w:val="0"/>
      <w:divBdr>
        <w:top w:val="none" w:sz="0" w:space="0" w:color="auto"/>
        <w:left w:val="none" w:sz="0" w:space="0" w:color="auto"/>
        <w:bottom w:val="none" w:sz="0" w:space="0" w:color="auto"/>
        <w:right w:val="none" w:sz="0" w:space="0" w:color="auto"/>
      </w:divBdr>
    </w:div>
    <w:div w:id="199124282">
      <w:bodyDiv w:val="1"/>
      <w:marLeft w:val="0"/>
      <w:marRight w:val="0"/>
      <w:marTop w:val="0"/>
      <w:marBottom w:val="0"/>
      <w:divBdr>
        <w:top w:val="none" w:sz="0" w:space="0" w:color="auto"/>
        <w:left w:val="none" w:sz="0" w:space="0" w:color="auto"/>
        <w:bottom w:val="none" w:sz="0" w:space="0" w:color="auto"/>
        <w:right w:val="none" w:sz="0" w:space="0" w:color="auto"/>
      </w:divBdr>
    </w:div>
    <w:div w:id="203909351">
      <w:bodyDiv w:val="1"/>
      <w:marLeft w:val="0"/>
      <w:marRight w:val="0"/>
      <w:marTop w:val="0"/>
      <w:marBottom w:val="0"/>
      <w:divBdr>
        <w:top w:val="none" w:sz="0" w:space="0" w:color="auto"/>
        <w:left w:val="none" w:sz="0" w:space="0" w:color="auto"/>
        <w:bottom w:val="none" w:sz="0" w:space="0" w:color="auto"/>
        <w:right w:val="none" w:sz="0" w:space="0" w:color="auto"/>
      </w:divBdr>
    </w:div>
    <w:div w:id="224998689">
      <w:bodyDiv w:val="1"/>
      <w:marLeft w:val="0"/>
      <w:marRight w:val="0"/>
      <w:marTop w:val="0"/>
      <w:marBottom w:val="0"/>
      <w:divBdr>
        <w:top w:val="none" w:sz="0" w:space="0" w:color="auto"/>
        <w:left w:val="none" w:sz="0" w:space="0" w:color="auto"/>
        <w:bottom w:val="none" w:sz="0" w:space="0" w:color="auto"/>
        <w:right w:val="none" w:sz="0" w:space="0" w:color="auto"/>
      </w:divBdr>
    </w:div>
    <w:div w:id="244387500">
      <w:bodyDiv w:val="1"/>
      <w:marLeft w:val="0"/>
      <w:marRight w:val="0"/>
      <w:marTop w:val="0"/>
      <w:marBottom w:val="0"/>
      <w:divBdr>
        <w:top w:val="none" w:sz="0" w:space="0" w:color="auto"/>
        <w:left w:val="none" w:sz="0" w:space="0" w:color="auto"/>
        <w:bottom w:val="none" w:sz="0" w:space="0" w:color="auto"/>
        <w:right w:val="none" w:sz="0" w:space="0" w:color="auto"/>
      </w:divBdr>
    </w:div>
    <w:div w:id="316960017">
      <w:bodyDiv w:val="1"/>
      <w:marLeft w:val="0"/>
      <w:marRight w:val="0"/>
      <w:marTop w:val="0"/>
      <w:marBottom w:val="0"/>
      <w:divBdr>
        <w:top w:val="none" w:sz="0" w:space="0" w:color="auto"/>
        <w:left w:val="none" w:sz="0" w:space="0" w:color="auto"/>
        <w:bottom w:val="none" w:sz="0" w:space="0" w:color="auto"/>
        <w:right w:val="none" w:sz="0" w:space="0" w:color="auto"/>
      </w:divBdr>
      <w:divsChild>
        <w:div w:id="637691131">
          <w:marLeft w:val="0"/>
          <w:marRight w:val="0"/>
          <w:marTop w:val="0"/>
          <w:marBottom w:val="0"/>
          <w:divBdr>
            <w:top w:val="none" w:sz="0" w:space="0" w:color="auto"/>
            <w:left w:val="none" w:sz="0" w:space="0" w:color="auto"/>
            <w:bottom w:val="none" w:sz="0" w:space="0" w:color="auto"/>
            <w:right w:val="none" w:sz="0" w:space="0" w:color="auto"/>
          </w:divBdr>
          <w:divsChild>
            <w:div w:id="6496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7646">
      <w:bodyDiv w:val="1"/>
      <w:marLeft w:val="0"/>
      <w:marRight w:val="0"/>
      <w:marTop w:val="0"/>
      <w:marBottom w:val="0"/>
      <w:divBdr>
        <w:top w:val="none" w:sz="0" w:space="0" w:color="auto"/>
        <w:left w:val="none" w:sz="0" w:space="0" w:color="auto"/>
        <w:bottom w:val="none" w:sz="0" w:space="0" w:color="auto"/>
        <w:right w:val="none" w:sz="0" w:space="0" w:color="auto"/>
      </w:divBdr>
    </w:div>
    <w:div w:id="339435343">
      <w:bodyDiv w:val="1"/>
      <w:marLeft w:val="0"/>
      <w:marRight w:val="0"/>
      <w:marTop w:val="0"/>
      <w:marBottom w:val="0"/>
      <w:divBdr>
        <w:top w:val="none" w:sz="0" w:space="0" w:color="auto"/>
        <w:left w:val="none" w:sz="0" w:space="0" w:color="auto"/>
        <w:bottom w:val="none" w:sz="0" w:space="0" w:color="auto"/>
        <w:right w:val="none" w:sz="0" w:space="0" w:color="auto"/>
      </w:divBdr>
    </w:div>
    <w:div w:id="361705692">
      <w:bodyDiv w:val="1"/>
      <w:marLeft w:val="0"/>
      <w:marRight w:val="0"/>
      <w:marTop w:val="0"/>
      <w:marBottom w:val="0"/>
      <w:divBdr>
        <w:top w:val="none" w:sz="0" w:space="0" w:color="auto"/>
        <w:left w:val="none" w:sz="0" w:space="0" w:color="auto"/>
        <w:bottom w:val="none" w:sz="0" w:space="0" w:color="auto"/>
        <w:right w:val="none" w:sz="0" w:space="0" w:color="auto"/>
      </w:divBdr>
    </w:div>
    <w:div w:id="361983678">
      <w:bodyDiv w:val="1"/>
      <w:marLeft w:val="0"/>
      <w:marRight w:val="0"/>
      <w:marTop w:val="0"/>
      <w:marBottom w:val="0"/>
      <w:divBdr>
        <w:top w:val="none" w:sz="0" w:space="0" w:color="auto"/>
        <w:left w:val="none" w:sz="0" w:space="0" w:color="auto"/>
        <w:bottom w:val="none" w:sz="0" w:space="0" w:color="auto"/>
        <w:right w:val="none" w:sz="0" w:space="0" w:color="auto"/>
      </w:divBdr>
      <w:divsChild>
        <w:div w:id="239147297">
          <w:marLeft w:val="0"/>
          <w:marRight w:val="0"/>
          <w:marTop w:val="0"/>
          <w:marBottom w:val="0"/>
          <w:divBdr>
            <w:top w:val="none" w:sz="0" w:space="0" w:color="auto"/>
            <w:left w:val="none" w:sz="0" w:space="0" w:color="auto"/>
            <w:bottom w:val="none" w:sz="0" w:space="0" w:color="auto"/>
            <w:right w:val="none" w:sz="0" w:space="0" w:color="auto"/>
          </w:divBdr>
          <w:divsChild>
            <w:div w:id="1208570726">
              <w:marLeft w:val="0"/>
              <w:marRight w:val="0"/>
              <w:marTop w:val="0"/>
              <w:marBottom w:val="0"/>
              <w:divBdr>
                <w:top w:val="none" w:sz="0" w:space="0" w:color="auto"/>
                <w:left w:val="none" w:sz="0" w:space="0" w:color="auto"/>
                <w:bottom w:val="none" w:sz="0" w:space="0" w:color="auto"/>
                <w:right w:val="none" w:sz="0" w:space="0" w:color="auto"/>
              </w:divBdr>
              <w:divsChild>
                <w:div w:id="1834418451">
                  <w:marLeft w:val="0"/>
                  <w:marRight w:val="0"/>
                  <w:marTop w:val="0"/>
                  <w:marBottom w:val="0"/>
                  <w:divBdr>
                    <w:top w:val="none" w:sz="0" w:space="0" w:color="auto"/>
                    <w:left w:val="none" w:sz="0" w:space="0" w:color="auto"/>
                    <w:bottom w:val="none" w:sz="0" w:space="0" w:color="auto"/>
                    <w:right w:val="none" w:sz="0" w:space="0" w:color="auto"/>
                  </w:divBdr>
                  <w:divsChild>
                    <w:div w:id="1437216924">
                      <w:marLeft w:val="0"/>
                      <w:marRight w:val="0"/>
                      <w:marTop w:val="0"/>
                      <w:marBottom w:val="0"/>
                      <w:divBdr>
                        <w:top w:val="none" w:sz="0" w:space="0" w:color="auto"/>
                        <w:left w:val="none" w:sz="0" w:space="0" w:color="auto"/>
                        <w:bottom w:val="none" w:sz="0" w:space="0" w:color="auto"/>
                        <w:right w:val="none" w:sz="0" w:space="0" w:color="auto"/>
                      </w:divBdr>
                      <w:divsChild>
                        <w:div w:id="2138183964">
                          <w:marLeft w:val="0"/>
                          <w:marRight w:val="0"/>
                          <w:marTop w:val="0"/>
                          <w:marBottom w:val="0"/>
                          <w:divBdr>
                            <w:top w:val="none" w:sz="0" w:space="0" w:color="auto"/>
                            <w:left w:val="none" w:sz="0" w:space="0" w:color="auto"/>
                            <w:bottom w:val="none" w:sz="0" w:space="0" w:color="auto"/>
                            <w:right w:val="none" w:sz="0" w:space="0" w:color="auto"/>
                          </w:divBdr>
                          <w:divsChild>
                            <w:div w:id="1177302563">
                              <w:marLeft w:val="0"/>
                              <w:marRight w:val="0"/>
                              <w:marTop w:val="0"/>
                              <w:marBottom w:val="0"/>
                              <w:divBdr>
                                <w:top w:val="none" w:sz="0" w:space="0" w:color="auto"/>
                                <w:left w:val="none" w:sz="0" w:space="0" w:color="auto"/>
                                <w:bottom w:val="none" w:sz="0" w:space="0" w:color="auto"/>
                                <w:right w:val="none" w:sz="0" w:space="0" w:color="auto"/>
                              </w:divBdr>
                              <w:divsChild>
                                <w:div w:id="758793629">
                                  <w:marLeft w:val="0"/>
                                  <w:marRight w:val="0"/>
                                  <w:marTop w:val="0"/>
                                  <w:marBottom w:val="0"/>
                                  <w:divBdr>
                                    <w:top w:val="none" w:sz="0" w:space="0" w:color="auto"/>
                                    <w:left w:val="none" w:sz="0" w:space="0" w:color="auto"/>
                                    <w:bottom w:val="none" w:sz="0" w:space="0" w:color="auto"/>
                                    <w:right w:val="none" w:sz="0" w:space="0" w:color="auto"/>
                                  </w:divBdr>
                                  <w:divsChild>
                                    <w:div w:id="7199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564978">
      <w:bodyDiv w:val="1"/>
      <w:marLeft w:val="0"/>
      <w:marRight w:val="0"/>
      <w:marTop w:val="0"/>
      <w:marBottom w:val="0"/>
      <w:divBdr>
        <w:top w:val="none" w:sz="0" w:space="0" w:color="auto"/>
        <w:left w:val="none" w:sz="0" w:space="0" w:color="auto"/>
        <w:bottom w:val="none" w:sz="0" w:space="0" w:color="auto"/>
        <w:right w:val="none" w:sz="0" w:space="0" w:color="auto"/>
      </w:divBdr>
    </w:div>
    <w:div w:id="407506946">
      <w:bodyDiv w:val="1"/>
      <w:marLeft w:val="0"/>
      <w:marRight w:val="0"/>
      <w:marTop w:val="0"/>
      <w:marBottom w:val="0"/>
      <w:divBdr>
        <w:top w:val="none" w:sz="0" w:space="0" w:color="auto"/>
        <w:left w:val="none" w:sz="0" w:space="0" w:color="auto"/>
        <w:bottom w:val="none" w:sz="0" w:space="0" w:color="auto"/>
        <w:right w:val="none" w:sz="0" w:space="0" w:color="auto"/>
      </w:divBdr>
    </w:div>
    <w:div w:id="418138951">
      <w:bodyDiv w:val="1"/>
      <w:marLeft w:val="0"/>
      <w:marRight w:val="0"/>
      <w:marTop w:val="0"/>
      <w:marBottom w:val="0"/>
      <w:divBdr>
        <w:top w:val="none" w:sz="0" w:space="0" w:color="auto"/>
        <w:left w:val="none" w:sz="0" w:space="0" w:color="auto"/>
        <w:bottom w:val="none" w:sz="0" w:space="0" w:color="auto"/>
        <w:right w:val="none" w:sz="0" w:space="0" w:color="auto"/>
      </w:divBdr>
    </w:div>
    <w:div w:id="421995269">
      <w:bodyDiv w:val="1"/>
      <w:marLeft w:val="0"/>
      <w:marRight w:val="0"/>
      <w:marTop w:val="0"/>
      <w:marBottom w:val="0"/>
      <w:divBdr>
        <w:top w:val="none" w:sz="0" w:space="0" w:color="auto"/>
        <w:left w:val="none" w:sz="0" w:space="0" w:color="auto"/>
        <w:bottom w:val="none" w:sz="0" w:space="0" w:color="auto"/>
        <w:right w:val="none" w:sz="0" w:space="0" w:color="auto"/>
      </w:divBdr>
    </w:div>
    <w:div w:id="458570673">
      <w:bodyDiv w:val="1"/>
      <w:marLeft w:val="0"/>
      <w:marRight w:val="0"/>
      <w:marTop w:val="0"/>
      <w:marBottom w:val="0"/>
      <w:divBdr>
        <w:top w:val="none" w:sz="0" w:space="0" w:color="auto"/>
        <w:left w:val="none" w:sz="0" w:space="0" w:color="auto"/>
        <w:bottom w:val="none" w:sz="0" w:space="0" w:color="auto"/>
        <w:right w:val="none" w:sz="0" w:space="0" w:color="auto"/>
      </w:divBdr>
    </w:div>
    <w:div w:id="580795704">
      <w:bodyDiv w:val="1"/>
      <w:marLeft w:val="0"/>
      <w:marRight w:val="0"/>
      <w:marTop w:val="0"/>
      <w:marBottom w:val="0"/>
      <w:divBdr>
        <w:top w:val="none" w:sz="0" w:space="0" w:color="auto"/>
        <w:left w:val="none" w:sz="0" w:space="0" w:color="auto"/>
        <w:bottom w:val="none" w:sz="0" w:space="0" w:color="auto"/>
        <w:right w:val="none" w:sz="0" w:space="0" w:color="auto"/>
      </w:divBdr>
    </w:div>
    <w:div w:id="670182418">
      <w:bodyDiv w:val="1"/>
      <w:marLeft w:val="0"/>
      <w:marRight w:val="0"/>
      <w:marTop w:val="0"/>
      <w:marBottom w:val="0"/>
      <w:divBdr>
        <w:top w:val="none" w:sz="0" w:space="0" w:color="auto"/>
        <w:left w:val="none" w:sz="0" w:space="0" w:color="auto"/>
        <w:bottom w:val="none" w:sz="0" w:space="0" w:color="auto"/>
        <w:right w:val="none" w:sz="0" w:space="0" w:color="auto"/>
      </w:divBdr>
    </w:div>
    <w:div w:id="682632000">
      <w:bodyDiv w:val="1"/>
      <w:marLeft w:val="0"/>
      <w:marRight w:val="0"/>
      <w:marTop w:val="0"/>
      <w:marBottom w:val="0"/>
      <w:divBdr>
        <w:top w:val="none" w:sz="0" w:space="0" w:color="auto"/>
        <w:left w:val="none" w:sz="0" w:space="0" w:color="auto"/>
        <w:bottom w:val="none" w:sz="0" w:space="0" w:color="auto"/>
        <w:right w:val="none" w:sz="0" w:space="0" w:color="auto"/>
      </w:divBdr>
    </w:div>
    <w:div w:id="700982367">
      <w:bodyDiv w:val="1"/>
      <w:marLeft w:val="0"/>
      <w:marRight w:val="0"/>
      <w:marTop w:val="0"/>
      <w:marBottom w:val="0"/>
      <w:divBdr>
        <w:top w:val="none" w:sz="0" w:space="0" w:color="auto"/>
        <w:left w:val="none" w:sz="0" w:space="0" w:color="auto"/>
        <w:bottom w:val="none" w:sz="0" w:space="0" w:color="auto"/>
        <w:right w:val="none" w:sz="0" w:space="0" w:color="auto"/>
      </w:divBdr>
    </w:div>
    <w:div w:id="735123771">
      <w:bodyDiv w:val="1"/>
      <w:marLeft w:val="0"/>
      <w:marRight w:val="0"/>
      <w:marTop w:val="0"/>
      <w:marBottom w:val="0"/>
      <w:divBdr>
        <w:top w:val="none" w:sz="0" w:space="0" w:color="auto"/>
        <w:left w:val="none" w:sz="0" w:space="0" w:color="auto"/>
        <w:bottom w:val="none" w:sz="0" w:space="0" w:color="auto"/>
        <w:right w:val="none" w:sz="0" w:space="0" w:color="auto"/>
      </w:divBdr>
    </w:div>
    <w:div w:id="742413931">
      <w:bodyDiv w:val="1"/>
      <w:marLeft w:val="0"/>
      <w:marRight w:val="0"/>
      <w:marTop w:val="0"/>
      <w:marBottom w:val="0"/>
      <w:divBdr>
        <w:top w:val="none" w:sz="0" w:space="0" w:color="auto"/>
        <w:left w:val="none" w:sz="0" w:space="0" w:color="auto"/>
        <w:bottom w:val="none" w:sz="0" w:space="0" w:color="auto"/>
        <w:right w:val="none" w:sz="0" w:space="0" w:color="auto"/>
      </w:divBdr>
    </w:div>
    <w:div w:id="780492673">
      <w:bodyDiv w:val="1"/>
      <w:marLeft w:val="0"/>
      <w:marRight w:val="0"/>
      <w:marTop w:val="0"/>
      <w:marBottom w:val="0"/>
      <w:divBdr>
        <w:top w:val="none" w:sz="0" w:space="0" w:color="auto"/>
        <w:left w:val="none" w:sz="0" w:space="0" w:color="auto"/>
        <w:bottom w:val="none" w:sz="0" w:space="0" w:color="auto"/>
        <w:right w:val="none" w:sz="0" w:space="0" w:color="auto"/>
      </w:divBdr>
    </w:div>
    <w:div w:id="784614509">
      <w:bodyDiv w:val="1"/>
      <w:marLeft w:val="0"/>
      <w:marRight w:val="0"/>
      <w:marTop w:val="0"/>
      <w:marBottom w:val="0"/>
      <w:divBdr>
        <w:top w:val="none" w:sz="0" w:space="0" w:color="auto"/>
        <w:left w:val="none" w:sz="0" w:space="0" w:color="auto"/>
        <w:bottom w:val="none" w:sz="0" w:space="0" w:color="auto"/>
        <w:right w:val="none" w:sz="0" w:space="0" w:color="auto"/>
      </w:divBdr>
    </w:div>
    <w:div w:id="796534670">
      <w:bodyDiv w:val="1"/>
      <w:marLeft w:val="0"/>
      <w:marRight w:val="0"/>
      <w:marTop w:val="0"/>
      <w:marBottom w:val="0"/>
      <w:divBdr>
        <w:top w:val="none" w:sz="0" w:space="0" w:color="auto"/>
        <w:left w:val="none" w:sz="0" w:space="0" w:color="auto"/>
        <w:bottom w:val="none" w:sz="0" w:space="0" w:color="auto"/>
        <w:right w:val="none" w:sz="0" w:space="0" w:color="auto"/>
      </w:divBdr>
    </w:div>
    <w:div w:id="834882153">
      <w:bodyDiv w:val="1"/>
      <w:marLeft w:val="0"/>
      <w:marRight w:val="0"/>
      <w:marTop w:val="0"/>
      <w:marBottom w:val="0"/>
      <w:divBdr>
        <w:top w:val="none" w:sz="0" w:space="0" w:color="auto"/>
        <w:left w:val="none" w:sz="0" w:space="0" w:color="auto"/>
        <w:bottom w:val="none" w:sz="0" w:space="0" w:color="auto"/>
        <w:right w:val="none" w:sz="0" w:space="0" w:color="auto"/>
      </w:divBdr>
    </w:div>
    <w:div w:id="844831835">
      <w:bodyDiv w:val="1"/>
      <w:marLeft w:val="0"/>
      <w:marRight w:val="0"/>
      <w:marTop w:val="0"/>
      <w:marBottom w:val="0"/>
      <w:divBdr>
        <w:top w:val="none" w:sz="0" w:space="0" w:color="auto"/>
        <w:left w:val="none" w:sz="0" w:space="0" w:color="auto"/>
        <w:bottom w:val="none" w:sz="0" w:space="0" w:color="auto"/>
        <w:right w:val="none" w:sz="0" w:space="0" w:color="auto"/>
      </w:divBdr>
    </w:div>
    <w:div w:id="849755053">
      <w:bodyDiv w:val="1"/>
      <w:marLeft w:val="0"/>
      <w:marRight w:val="0"/>
      <w:marTop w:val="0"/>
      <w:marBottom w:val="0"/>
      <w:divBdr>
        <w:top w:val="none" w:sz="0" w:space="0" w:color="auto"/>
        <w:left w:val="none" w:sz="0" w:space="0" w:color="auto"/>
        <w:bottom w:val="none" w:sz="0" w:space="0" w:color="auto"/>
        <w:right w:val="none" w:sz="0" w:space="0" w:color="auto"/>
      </w:divBdr>
    </w:div>
    <w:div w:id="916017096">
      <w:bodyDiv w:val="1"/>
      <w:marLeft w:val="0"/>
      <w:marRight w:val="0"/>
      <w:marTop w:val="0"/>
      <w:marBottom w:val="0"/>
      <w:divBdr>
        <w:top w:val="none" w:sz="0" w:space="0" w:color="auto"/>
        <w:left w:val="none" w:sz="0" w:space="0" w:color="auto"/>
        <w:bottom w:val="none" w:sz="0" w:space="0" w:color="auto"/>
        <w:right w:val="none" w:sz="0" w:space="0" w:color="auto"/>
      </w:divBdr>
    </w:div>
    <w:div w:id="934021697">
      <w:bodyDiv w:val="1"/>
      <w:marLeft w:val="0"/>
      <w:marRight w:val="0"/>
      <w:marTop w:val="0"/>
      <w:marBottom w:val="0"/>
      <w:divBdr>
        <w:top w:val="none" w:sz="0" w:space="0" w:color="auto"/>
        <w:left w:val="none" w:sz="0" w:space="0" w:color="auto"/>
        <w:bottom w:val="none" w:sz="0" w:space="0" w:color="auto"/>
        <w:right w:val="none" w:sz="0" w:space="0" w:color="auto"/>
      </w:divBdr>
    </w:div>
    <w:div w:id="938021991">
      <w:bodyDiv w:val="1"/>
      <w:marLeft w:val="0"/>
      <w:marRight w:val="0"/>
      <w:marTop w:val="0"/>
      <w:marBottom w:val="0"/>
      <w:divBdr>
        <w:top w:val="none" w:sz="0" w:space="0" w:color="auto"/>
        <w:left w:val="none" w:sz="0" w:space="0" w:color="auto"/>
        <w:bottom w:val="none" w:sz="0" w:space="0" w:color="auto"/>
        <w:right w:val="none" w:sz="0" w:space="0" w:color="auto"/>
      </w:divBdr>
    </w:div>
    <w:div w:id="943268228">
      <w:bodyDiv w:val="1"/>
      <w:marLeft w:val="0"/>
      <w:marRight w:val="0"/>
      <w:marTop w:val="0"/>
      <w:marBottom w:val="0"/>
      <w:divBdr>
        <w:top w:val="none" w:sz="0" w:space="0" w:color="auto"/>
        <w:left w:val="none" w:sz="0" w:space="0" w:color="auto"/>
        <w:bottom w:val="none" w:sz="0" w:space="0" w:color="auto"/>
        <w:right w:val="none" w:sz="0" w:space="0" w:color="auto"/>
      </w:divBdr>
    </w:div>
    <w:div w:id="966206408">
      <w:bodyDiv w:val="1"/>
      <w:marLeft w:val="0"/>
      <w:marRight w:val="0"/>
      <w:marTop w:val="0"/>
      <w:marBottom w:val="0"/>
      <w:divBdr>
        <w:top w:val="none" w:sz="0" w:space="0" w:color="auto"/>
        <w:left w:val="none" w:sz="0" w:space="0" w:color="auto"/>
        <w:bottom w:val="none" w:sz="0" w:space="0" w:color="auto"/>
        <w:right w:val="none" w:sz="0" w:space="0" w:color="auto"/>
      </w:divBdr>
      <w:divsChild>
        <w:div w:id="1521239967">
          <w:marLeft w:val="0"/>
          <w:marRight w:val="0"/>
          <w:marTop w:val="0"/>
          <w:marBottom w:val="0"/>
          <w:divBdr>
            <w:top w:val="none" w:sz="0" w:space="0" w:color="auto"/>
            <w:left w:val="none" w:sz="0" w:space="0" w:color="auto"/>
            <w:bottom w:val="none" w:sz="0" w:space="0" w:color="auto"/>
            <w:right w:val="none" w:sz="0" w:space="0" w:color="auto"/>
          </w:divBdr>
          <w:divsChild>
            <w:div w:id="2087527422">
              <w:marLeft w:val="0"/>
              <w:marRight w:val="0"/>
              <w:marTop w:val="0"/>
              <w:marBottom w:val="0"/>
              <w:divBdr>
                <w:top w:val="none" w:sz="0" w:space="0" w:color="auto"/>
                <w:left w:val="none" w:sz="0" w:space="0" w:color="auto"/>
                <w:bottom w:val="none" w:sz="0" w:space="0" w:color="auto"/>
                <w:right w:val="none" w:sz="0" w:space="0" w:color="auto"/>
              </w:divBdr>
              <w:divsChild>
                <w:div w:id="2034961425">
                  <w:marLeft w:val="0"/>
                  <w:marRight w:val="0"/>
                  <w:marTop w:val="0"/>
                  <w:marBottom w:val="0"/>
                  <w:divBdr>
                    <w:top w:val="none" w:sz="0" w:space="0" w:color="auto"/>
                    <w:left w:val="none" w:sz="0" w:space="0" w:color="auto"/>
                    <w:bottom w:val="none" w:sz="0" w:space="0" w:color="auto"/>
                    <w:right w:val="none" w:sz="0" w:space="0" w:color="auto"/>
                  </w:divBdr>
                  <w:divsChild>
                    <w:div w:id="1303925469">
                      <w:marLeft w:val="0"/>
                      <w:marRight w:val="0"/>
                      <w:marTop w:val="0"/>
                      <w:marBottom w:val="0"/>
                      <w:divBdr>
                        <w:top w:val="none" w:sz="0" w:space="0" w:color="auto"/>
                        <w:left w:val="none" w:sz="0" w:space="0" w:color="auto"/>
                        <w:bottom w:val="none" w:sz="0" w:space="0" w:color="auto"/>
                        <w:right w:val="none" w:sz="0" w:space="0" w:color="auto"/>
                      </w:divBdr>
                      <w:divsChild>
                        <w:div w:id="554197915">
                          <w:marLeft w:val="0"/>
                          <w:marRight w:val="0"/>
                          <w:marTop w:val="0"/>
                          <w:marBottom w:val="0"/>
                          <w:divBdr>
                            <w:top w:val="none" w:sz="0" w:space="0" w:color="auto"/>
                            <w:left w:val="none" w:sz="0" w:space="0" w:color="auto"/>
                            <w:bottom w:val="none" w:sz="0" w:space="0" w:color="auto"/>
                            <w:right w:val="none" w:sz="0" w:space="0" w:color="auto"/>
                          </w:divBdr>
                          <w:divsChild>
                            <w:div w:id="1741099363">
                              <w:marLeft w:val="0"/>
                              <w:marRight w:val="0"/>
                              <w:marTop w:val="0"/>
                              <w:marBottom w:val="0"/>
                              <w:divBdr>
                                <w:top w:val="none" w:sz="0" w:space="0" w:color="auto"/>
                                <w:left w:val="none" w:sz="0" w:space="0" w:color="auto"/>
                                <w:bottom w:val="none" w:sz="0" w:space="0" w:color="auto"/>
                                <w:right w:val="none" w:sz="0" w:space="0" w:color="auto"/>
                              </w:divBdr>
                              <w:divsChild>
                                <w:div w:id="1868568183">
                                  <w:marLeft w:val="0"/>
                                  <w:marRight w:val="0"/>
                                  <w:marTop w:val="0"/>
                                  <w:marBottom w:val="0"/>
                                  <w:divBdr>
                                    <w:top w:val="none" w:sz="0" w:space="0" w:color="auto"/>
                                    <w:left w:val="none" w:sz="0" w:space="0" w:color="auto"/>
                                    <w:bottom w:val="none" w:sz="0" w:space="0" w:color="auto"/>
                                    <w:right w:val="none" w:sz="0" w:space="0" w:color="auto"/>
                                  </w:divBdr>
                                  <w:divsChild>
                                    <w:div w:id="2368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422937">
      <w:bodyDiv w:val="1"/>
      <w:marLeft w:val="0"/>
      <w:marRight w:val="0"/>
      <w:marTop w:val="0"/>
      <w:marBottom w:val="0"/>
      <w:divBdr>
        <w:top w:val="none" w:sz="0" w:space="0" w:color="auto"/>
        <w:left w:val="none" w:sz="0" w:space="0" w:color="auto"/>
        <w:bottom w:val="none" w:sz="0" w:space="0" w:color="auto"/>
        <w:right w:val="none" w:sz="0" w:space="0" w:color="auto"/>
      </w:divBdr>
    </w:div>
    <w:div w:id="984698199">
      <w:bodyDiv w:val="1"/>
      <w:marLeft w:val="0"/>
      <w:marRight w:val="0"/>
      <w:marTop w:val="0"/>
      <w:marBottom w:val="0"/>
      <w:divBdr>
        <w:top w:val="none" w:sz="0" w:space="0" w:color="auto"/>
        <w:left w:val="none" w:sz="0" w:space="0" w:color="auto"/>
        <w:bottom w:val="none" w:sz="0" w:space="0" w:color="auto"/>
        <w:right w:val="none" w:sz="0" w:space="0" w:color="auto"/>
      </w:divBdr>
    </w:div>
    <w:div w:id="988173584">
      <w:bodyDiv w:val="1"/>
      <w:marLeft w:val="0"/>
      <w:marRight w:val="0"/>
      <w:marTop w:val="0"/>
      <w:marBottom w:val="0"/>
      <w:divBdr>
        <w:top w:val="none" w:sz="0" w:space="0" w:color="auto"/>
        <w:left w:val="none" w:sz="0" w:space="0" w:color="auto"/>
        <w:bottom w:val="none" w:sz="0" w:space="0" w:color="auto"/>
        <w:right w:val="none" w:sz="0" w:space="0" w:color="auto"/>
      </w:divBdr>
    </w:div>
    <w:div w:id="1006830140">
      <w:bodyDiv w:val="1"/>
      <w:marLeft w:val="0"/>
      <w:marRight w:val="0"/>
      <w:marTop w:val="0"/>
      <w:marBottom w:val="0"/>
      <w:divBdr>
        <w:top w:val="none" w:sz="0" w:space="0" w:color="auto"/>
        <w:left w:val="none" w:sz="0" w:space="0" w:color="auto"/>
        <w:bottom w:val="none" w:sz="0" w:space="0" w:color="auto"/>
        <w:right w:val="none" w:sz="0" w:space="0" w:color="auto"/>
      </w:divBdr>
    </w:div>
    <w:div w:id="1023245599">
      <w:bodyDiv w:val="1"/>
      <w:marLeft w:val="0"/>
      <w:marRight w:val="0"/>
      <w:marTop w:val="0"/>
      <w:marBottom w:val="0"/>
      <w:divBdr>
        <w:top w:val="none" w:sz="0" w:space="0" w:color="auto"/>
        <w:left w:val="none" w:sz="0" w:space="0" w:color="auto"/>
        <w:bottom w:val="none" w:sz="0" w:space="0" w:color="auto"/>
        <w:right w:val="none" w:sz="0" w:space="0" w:color="auto"/>
      </w:divBdr>
    </w:div>
    <w:div w:id="1042900109">
      <w:bodyDiv w:val="1"/>
      <w:marLeft w:val="0"/>
      <w:marRight w:val="0"/>
      <w:marTop w:val="0"/>
      <w:marBottom w:val="0"/>
      <w:divBdr>
        <w:top w:val="none" w:sz="0" w:space="0" w:color="auto"/>
        <w:left w:val="none" w:sz="0" w:space="0" w:color="auto"/>
        <w:bottom w:val="none" w:sz="0" w:space="0" w:color="auto"/>
        <w:right w:val="none" w:sz="0" w:space="0" w:color="auto"/>
      </w:divBdr>
    </w:div>
    <w:div w:id="1048795540">
      <w:bodyDiv w:val="1"/>
      <w:marLeft w:val="0"/>
      <w:marRight w:val="0"/>
      <w:marTop w:val="0"/>
      <w:marBottom w:val="0"/>
      <w:divBdr>
        <w:top w:val="none" w:sz="0" w:space="0" w:color="auto"/>
        <w:left w:val="none" w:sz="0" w:space="0" w:color="auto"/>
        <w:bottom w:val="none" w:sz="0" w:space="0" w:color="auto"/>
        <w:right w:val="none" w:sz="0" w:space="0" w:color="auto"/>
      </w:divBdr>
    </w:div>
    <w:div w:id="1068769432">
      <w:bodyDiv w:val="1"/>
      <w:marLeft w:val="0"/>
      <w:marRight w:val="0"/>
      <w:marTop w:val="0"/>
      <w:marBottom w:val="0"/>
      <w:divBdr>
        <w:top w:val="none" w:sz="0" w:space="0" w:color="auto"/>
        <w:left w:val="none" w:sz="0" w:space="0" w:color="auto"/>
        <w:bottom w:val="none" w:sz="0" w:space="0" w:color="auto"/>
        <w:right w:val="none" w:sz="0" w:space="0" w:color="auto"/>
      </w:divBdr>
    </w:div>
    <w:div w:id="1070425306">
      <w:bodyDiv w:val="1"/>
      <w:marLeft w:val="0"/>
      <w:marRight w:val="0"/>
      <w:marTop w:val="0"/>
      <w:marBottom w:val="0"/>
      <w:divBdr>
        <w:top w:val="none" w:sz="0" w:space="0" w:color="auto"/>
        <w:left w:val="none" w:sz="0" w:space="0" w:color="auto"/>
        <w:bottom w:val="none" w:sz="0" w:space="0" w:color="auto"/>
        <w:right w:val="none" w:sz="0" w:space="0" w:color="auto"/>
      </w:divBdr>
    </w:div>
    <w:div w:id="1071317916">
      <w:bodyDiv w:val="1"/>
      <w:marLeft w:val="0"/>
      <w:marRight w:val="0"/>
      <w:marTop w:val="0"/>
      <w:marBottom w:val="0"/>
      <w:divBdr>
        <w:top w:val="none" w:sz="0" w:space="0" w:color="auto"/>
        <w:left w:val="none" w:sz="0" w:space="0" w:color="auto"/>
        <w:bottom w:val="none" w:sz="0" w:space="0" w:color="auto"/>
        <w:right w:val="none" w:sz="0" w:space="0" w:color="auto"/>
      </w:divBdr>
    </w:div>
    <w:div w:id="1099716418">
      <w:bodyDiv w:val="1"/>
      <w:marLeft w:val="0"/>
      <w:marRight w:val="0"/>
      <w:marTop w:val="0"/>
      <w:marBottom w:val="0"/>
      <w:divBdr>
        <w:top w:val="none" w:sz="0" w:space="0" w:color="auto"/>
        <w:left w:val="none" w:sz="0" w:space="0" w:color="auto"/>
        <w:bottom w:val="none" w:sz="0" w:space="0" w:color="auto"/>
        <w:right w:val="none" w:sz="0" w:space="0" w:color="auto"/>
      </w:divBdr>
    </w:div>
    <w:div w:id="1100493354">
      <w:bodyDiv w:val="1"/>
      <w:marLeft w:val="0"/>
      <w:marRight w:val="0"/>
      <w:marTop w:val="0"/>
      <w:marBottom w:val="0"/>
      <w:divBdr>
        <w:top w:val="none" w:sz="0" w:space="0" w:color="auto"/>
        <w:left w:val="none" w:sz="0" w:space="0" w:color="auto"/>
        <w:bottom w:val="none" w:sz="0" w:space="0" w:color="auto"/>
        <w:right w:val="none" w:sz="0" w:space="0" w:color="auto"/>
      </w:divBdr>
    </w:div>
    <w:div w:id="1101679156">
      <w:bodyDiv w:val="1"/>
      <w:marLeft w:val="0"/>
      <w:marRight w:val="0"/>
      <w:marTop w:val="0"/>
      <w:marBottom w:val="0"/>
      <w:divBdr>
        <w:top w:val="none" w:sz="0" w:space="0" w:color="auto"/>
        <w:left w:val="none" w:sz="0" w:space="0" w:color="auto"/>
        <w:bottom w:val="none" w:sz="0" w:space="0" w:color="auto"/>
        <w:right w:val="none" w:sz="0" w:space="0" w:color="auto"/>
      </w:divBdr>
    </w:div>
    <w:div w:id="1116100442">
      <w:bodyDiv w:val="1"/>
      <w:marLeft w:val="0"/>
      <w:marRight w:val="0"/>
      <w:marTop w:val="0"/>
      <w:marBottom w:val="0"/>
      <w:divBdr>
        <w:top w:val="none" w:sz="0" w:space="0" w:color="auto"/>
        <w:left w:val="none" w:sz="0" w:space="0" w:color="auto"/>
        <w:bottom w:val="none" w:sz="0" w:space="0" w:color="auto"/>
        <w:right w:val="none" w:sz="0" w:space="0" w:color="auto"/>
      </w:divBdr>
    </w:div>
    <w:div w:id="1153985178">
      <w:bodyDiv w:val="1"/>
      <w:marLeft w:val="0"/>
      <w:marRight w:val="0"/>
      <w:marTop w:val="0"/>
      <w:marBottom w:val="0"/>
      <w:divBdr>
        <w:top w:val="none" w:sz="0" w:space="0" w:color="auto"/>
        <w:left w:val="none" w:sz="0" w:space="0" w:color="auto"/>
        <w:bottom w:val="none" w:sz="0" w:space="0" w:color="auto"/>
        <w:right w:val="none" w:sz="0" w:space="0" w:color="auto"/>
      </w:divBdr>
    </w:div>
    <w:div w:id="1205632334">
      <w:bodyDiv w:val="1"/>
      <w:marLeft w:val="0"/>
      <w:marRight w:val="0"/>
      <w:marTop w:val="0"/>
      <w:marBottom w:val="0"/>
      <w:divBdr>
        <w:top w:val="none" w:sz="0" w:space="0" w:color="auto"/>
        <w:left w:val="none" w:sz="0" w:space="0" w:color="auto"/>
        <w:bottom w:val="none" w:sz="0" w:space="0" w:color="auto"/>
        <w:right w:val="none" w:sz="0" w:space="0" w:color="auto"/>
      </w:divBdr>
    </w:div>
    <w:div w:id="1216619770">
      <w:bodyDiv w:val="1"/>
      <w:marLeft w:val="0"/>
      <w:marRight w:val="0"/>
      <w:marTop w:val="0"/>
      <w:marBottom w:val="0"/>
      <w:divBdr>
        <w:top w:val="none" w:sz="0" w:space="0" w:color="auto"/>
        <w:left w:val="none" w:sz="0" w:space="0" w:color="auto"/>
        <w:bottom w:val="none" w:sz="0" w:space="0" w:color="auto"/>
        <w:right w:val="none" w:sz="0" w:space="0" w:color="auto"/>
      </w:divBdr>
    </w:div>
    <w:div w:id="1262908519">
      <w:bodyDiv w:val="1"/>
      <w:marLeft w:val="0"/>
      <w:marRight w:val="0"/>
      <w:marTop w:val="0"/>
      <w:marBottom w:val="0"/>
      <w:divBdr>
        <w:top w:val="none" w:sz="0" w:space="0" w:color="auto"/>
        <w:left w:val="none" w:sz="0" w:space="0" w:color="auto"/>
        <w:bottom w:val="none" w:sz="0" w:space="0" w:color="auto"/>
        <w:right w:val="none" w:sz="0" w:space="0" w:color="auto"/>
      </w:divBdr>
    </w:div>
    <w:div w:id="1281570876">
      <w:bodyDiv w:val="1"/>
      <w:marLeft w:val="0"/>
      <w:marRight w:val="0"/>
      <w:marTop w:val="0"/>
      <w:marBottom w:val="0"/>
      <w:divBdr>
        <w:top w:val="none" w:sz="0" w:space="0" w:color="auto"/>
        <w:left w:val="none" w:sz="0" w:space="0" w:color="auto"/>
        <w:bottom w:val="none" w:sz="0" w:space="0" w:color="auto"/>
        <w:right w:val="none" w:sz="0" w:space="0" w:color="auto"/>
      </w:divBdr>
    </w:div>
    <w:div w:id="1296987542">
      <w:bodyDiv w:val="1"/>
      <w:marLeft w:val="0"/>
      <w:marRight w:val="0"/>
      <w:marTop w:val="0"/>
      <w:marBottom w:val="0"/>
      <w:divBdr>
        <w:top w:val="none" w:sz="0" w:space="0" w:color="auto"/>
        <w:left w:val="none" w:sz="0" w:space="0" w:color="auto"/>
        <w:bottom w:val="none" w:sz="0" w:space="0" w:color="auto"/>
        <w:right w:val="none" w:sz="0" w:space="0" w:color="auto"/>
      </w:divBdr>
    </w:div>
    <w:div w:id="1336416480">
      <w:bodyDiv w:val="1"/>
      <w:marLeft w:val="0"/>
      <w:marRight w:val="0"/>
      <w:marTop w:val="0"/>
      <w:marBottom w:val="0"/>
      <w:divBdr>
        <w:top w:val="none" w:sz="0" w:space="0" w:color="auto"/>
        <w:left w:val="none" w:sz="0" w:space="0" w:color="auto"/>
        <w:bottom w:val="none" w:sz="0" w:space="0" w:color="auto"/>
        <w:right w:val="none" w:sz="0" w:space="0" w:color="auto"/>
      </w:divBdr>
    </w:div>
    <w:div w:id="1337882549">
      <w:bodyDiv w:val="1"/>
      <w:marLeft w:val="0"/>
      <w:marRight w:val="0"/>
      <w:marTop w:val="0"/>
      <w:marBottom w:val="0"/>
      <w:divBdr>
        <w:top w:val="none" w:sz="0" w:space="0" w:color="auto"/>
        <w:left w:val="none" w:sz="0" w:space="0" w:color="auto"/>
        <w:bottom w:val="none" w:sz="0" w:space="0" w:color="auto"/>
        <w:right w:val="none" w:sz="0" w:space="0" w:color="auto"/>
      </w:divBdr>
    </w:div>
    <w:div w:id="1377703726">
      <w:bodyDiv w:val="1"/>
      <w:marLeft w:val="0"/>
      <w:marRight w:val="0"/>
      <w:marTop w:val="0"/>
      <w:marBottom w:val="0"/>
      <w:divBdr>
        <w:top w:val="none" w:sz="0" w:space="0" w:color="auto"/>
        <w:left w:val="none" w:sz="0" w:space="0" w:color="auto"/>
        <w:bottom w:val="none" w:sz="0" w:space="0" w:color="auto"/>
        <w:right w:val="none" w:sz="0" w:space="0" w:color="auto"/>
      </w:divBdr>
    </w:div>
    <w:div w:id="1380934199">
      <w:bodyDiv w:val="1"/>
      <w:marLeft w:val="0"/>
      <w:marRight w:val="0"/>
      <w:marTop w:val="0"/>
      <w:marBottom w:val="0"/>
      <w:divBdr>
        <w:top w:val="none" w:sz="0" w:space="0" w:color="auto"/>
        <w:left w:val="none" w:sz="0" w:space="0" w:color="auto"/>
        <w:bottom w:val="none" w:sz="0" w:space="0" w:color="auto"/>
        <w:right w:val="none" w:sz="0" w:space="0" w:color="auto"/>
      </w:divBdr>
    </w:div>
    <w:div w:id="1429623185">
      <w:bodyDiv w:val="1"/>
      <w:marLeft w:val="0"/>
      <w:marRight w:val="0"/>
      <w:marTop w:val="0"/>
      <w:marBottom w:val="0"/>
      <w:divBdr>
        <w:top w:val="none" w:sz="0" w:space="0" w:color="auto"/>
        <w:left w:val="none" w:sz="0" w:space="0" w:color="auto"/>
        <w:bottom w:val="none" w:sz="0" w:space="0" w:color="auto"/>
        <w:right w:val="none" w:sz="0" w:space="0" w:color="auto"/>
      </w:divBdr>
    </w:div>
    <w:div w:id="1441606638">
      <w:bodyDiv w:val="1"/>
      <w:marLeft w:val="0"/>
      <w:marRight w:val="0"/>
      <w:marTop w:val="0"/>
      <w:marBottom w:val="0"/>
      <w:divBdr>
        <w:top w:val="none" w:sz="0" w:space="0" w:color="auto"/>
        <w:left w:val="none" w:sz="0" w:space="0" w:color="auto"/>
        <w:bottom w:val="none" w:sz="0" w:space="0" w:color="auto"/>
        <w:right w:val="none" w:sz="0" w:space="0" w:color="auto"/>
      </w:divBdr>
    </w:div>
    <w:div w:id="1471367352">
      <w:bodyDiv w:val="1"/>
      <w:marLeft w:val="0"/>
      <w:marRight w:val="0"/>
      <w:marTop w:val="0"/>
      <w:marBottom w:val="0"/>
      <w:divBdr>
        <w:top w:val="none" w:sz="0" w:space="0" w:color="auto"/>
        <w:left w:val="none" w:sz="0" w:space="0" w:color="auto"/>
        <w:bottom w:val="none" w:sz="0" w:space="0" w:color="auto"/>
        <w:right w:val="none" w:sz="0" w:space="0" w:color="auto"/>
      </w:divBdr>
    </w:div>
    <w:div w:id="1474711083">
      <w:bodyDiv w:val="1"/>
      <w:marLeft w:val="0"/>
      <w:marRight w:val="0"/>
      <w:marTop w:val="0"/>
      <w:marBottom w:val="0"/>
      <w:divBdr>
        <w:top w:val="none" w:sz="0" w:space="0" w:color="auto"/>
        <w:left w:val="none" w:sz="0" w:space="0" w:color="auto"/>
        <w:bottom w:val="none" w:sz="0" w:space="0" w:color="auto"/>
        <w:right w:val="none" w:sz="0" w:space="0" w:color="auto"/>
      </w:divBdr>
    </w:div>
    <w:div w:id="1488326113">
      <w:bodyDiv w:val="1"/>
      <w:marLeft w:val="0"/>
      <w:marRight w:val="0"/>
      <w:marTop w:val="0"/>
      <w:marBottom w:val="0"/>
      <w:divBdr>
        <w:top w:val="none" w:sz="0" w:space="0" w:color="auto"/>
        <w:left w:val="none" w:sz="0" w:space="0" w:color="auto"/>
        <w:bottom w:val="none" w:sz="0" w:space="0" w:color="auto"/>
        <w:right w:val="none" w:sz="0" w:space="0" w:color="auto"/>
      </w:divBdr>
    </w:div>
    <w:div w:id="1508137729">
      <w:bodyDiv w:val="1"/>
      <w:marLeft w:val="0"/>
      <w:marRight w:val="0"/>
      <w:marTop w:val="0"/>
      <w:marBottom w:val="0"/>
      <w:divBdr>
        <w:top w:val="none" w:sz="0" w:space="0" w:color="auto"/>
        <w:left w:val="none" w:sz="0" w:space="0" w:color="auto"/>
        <w:bottom w:val="none" w:sz="0" w:space="0" w:color="auto"/>
        <w:right w:val="none" w:sz="0" w:space="0" w:color="auto"/>
      </w:divBdr>
    </w:div>
    <w:div w:id="1559854464">
      <w:bodyDiv w:val="1"/>
      <w:marLeft w:val="0"/>
      <w:marRight w:val="0"/>
      <w:marTop w:val="0"/>
      <w:marBottom w:val="0"/>
      <w:divBdr>
        <w:top w:val="none" w:sz="0" w:space="0" w:color="auto"/>
        <w:left w:val="none" w:sz="0" w:space="0" w:color="auto"/>
        <w:bottom w:val="none" w:sz="0" w:space="0" w:color="auto"/>
        <w:right w:val="none" w:sz="0" w:space="0" w:color="auto"/>
      </w:divBdr>
    </w:div>
    <w:div w:id="1569726194">
      <w:bodyDiv w:val="1"/>
      <w:marLeft w:val="0"/>
      <w:marRight w:val="0"/>
      <w:marTop w:val="0"/>
      <w:marBottom w:val="0"/>
      <w:divBdr>
        <w:top w:val="none" w:sz="0" w:space="0" w:color="auto"/>
        <w:left w:val="none" w:sz="0" w:space="0" w:color="auto"/>
        <w:bottom w:val="none" w:sz="0" w:space="0" w:color="auto"/>
        <w:right w:val="none" w:sz="0" w:space="0" w:color="auto"/>
      </w:divBdr>
    </w:div>
    <w:div w:id="1570001166">
      <w:bodyDiv w:val="1"/>
      <w:marLeft w:val="0"/>
      <w:marRight w:val="0"/>
      <w:marTop w:val="0"/>
      <w:marBottom w:val="0"/>
      <w:divBdr>
        <w:top w:val="none" w:sz="0" w:space="0" w:color="auto"/>
        <w:left w:val="none" w:sz="0" w:space="0" w:color="auto"/>
        <w:bottom w:val="none" w:sz="0" w:space="0" w:color="auto"/>
        <w:right w:val="none" w:sz="0" w:space="0" w:color="auto"/>
      </w:divBdr>
      <w:divsChild>
        <w:div w:id="1039354057">
          <w:marLeft w:val="0"/>
          <w:marRight w:val="0"/>
          <w:marTop w:val="0"/>
          <w:marBottom w:val="0"/>
          <w:divBdr>
            <w:top w:val="none" w:sz="0" w:space="0" w:color="auto"/>
            <w:left w:val="none" w:sz="0" w:space="0" w:color="auto"/>
            <w:bottom w:val="none" w:sz="0" w:space="0" w:color="auto"/>
            <w:right w:val="none" w:sz="0" w:space="0" w:color="auto"/>
          </w:divBdr>
          <w:divsChild>
            <w:div w:id="15398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6399">
      <w:bodyDiv w:val="1"/>
      <w:marLeft w:val="0"/>
      <w:marRight w:val="0"/>
      <w:marTop w:val="0"/>
      <w:marBottom w:val="0"/>
      <w:divBdr>
        <w:top w:val="none" w:sz="0" w:space="0" w:color="auto"/>
        <w:left w:val="none" w:sz="0" w:space="0" w:color="auto"/>
        <w:bottom w:val="none" w:sz="0" w:space="0" w:color="auto"/>
        <w:right w:val="none" w:sz="0" w:space="0" w:color="auto"/>
      </w:divBdr>
    </w:div>
    <w:div w:id="1597012146">
      <w:bodyDiv w:val="1"/>
      <w:marLeft w:val="0"/>
      <w:marRight w:val="0"/>
      <w:marTop w:val="0"/>
      <w:marBottom w:val="0"/>
      <w:divBdr>
        <w:top w:val="none" w:sz="0" w:space="0" w:color="auto"/>
        <w:left w:val="none" w:sz="0" w:space="0" w:color="auto"/>
        <w:bottom w:val="none" w:sz="0" w:space="0" w:color="auto"/>
        <w:right w:val="none" w:sz="0" w:space="0" w:color="auto"/>
      </w:divBdr>
    </w:div>
    <w:div w:id="1603223428">
      <w:bodyDiv w:val="1"/>
      <w:marLeft w:val="0"/>
      <w:marRight w:val="0"/>
      <w:marTop w:val="0"/>
      <w:marBottom w:val="0"/>
      <w:divBdr>
        <w:top w:val="none" w:sz="0" w:space="0" w:color="auto"/>
        <w:left w:val="none" w:sz="0" w:space="0" w:color="auto"/>
        <w:bottom w:val="none" w:sz="0" w:space="0" w:color="auto"/>
        <w:right w:val="none" w:sz="0" w:space="0" w:color="auto"/>
      </w:divBdr>
    </w:div>
    <w:div w:id="1620143965">
      <w:bodyDiv w:val="1"/>
      <w:marLeft w:val="0"/>
      <w:marRight w:val="0"/>
      <w:marTop w:val="0"/>
      <w:marBottom w:val="0"/>
      <w:divBdr>
        <w:top w:val="none" w:sz="0" w:space="0" w:color="auto"/>
        <w:left w:val="none" w:sz="0" w:space="0" w:color="auto"/>
        <w:bottom w:val="none" w:sz="0" w:space="0" w:color="auto"/>
        <w:right w:val="none" w:sz="0" w:space="0" w:color="auto"/>
      </w:divBdr>
    </w:div>
    <w:div w:id="1657298762">
      <w:bodyDiv w:val="1"/>
      <w:marLeft w:val="0"/>
      <w:marRight w:val="0"/>
      <w:marTop w:val="0"/>
      <w:marBottom w:val="0"/>
      <w:divBdr>
        <w:top w:val="none" w:sz="0" w:space="0" w:color="auto"/>
        <w:left w:val="none" w:sz="0" w:space="0" w:color="auto"/>
        <w:bottom w:val="none" w:sz="0" w:space="0" w:color="auto"/>
        <w:right w:val="none" w:sz="0" w:space="0" w:color="auto"/>
      </w:divBdr>
    </w:div>
    <w:div w:id="1740207843">
      <w:bodyDiv w:val="1"/>
      <w:marLeft w:val="0"/>
      <w:marRight w:val="0"/>
      <w:marTop w:val="0"/>
      <w:marBottom w:val="0"/>
      <w:divBdr>
        <w:top w:val="none" w:sz="0" w:space="0" w:color="auto"/>
        <w:left w:val="none" w:sz="0" w:space="0" w:color="auto"/>
        <w:bottom w:val="none" w:sz="0" w:space="0" w:color="auto"/>
        <w:right w:val="none" w:sz="0" w:space="0" w:color="auto"/>
      </w:divBdr>
    </w:div>
    <w:div w:id="1742943462">
      <w:bodyDiv w:val="1"/>
      <w:marLeft w:val="0"/>
      <w:marRight w:val="0"/>
      <w:marTop w:val="0"/>
      <w:marBottom w:val="0"/>
      <w:divBdr>
        <w:top w:val="none" w:sz="0" w:space="0" w:color="auto"/>
        <w:left w:val="none" w:sz="0" w:space="0" w:color="auto"/>
        <w:bottom w:val="none" w:sz="0" w:space="0" w:color="auto"/>
        <w:right w:val="none" w:sz="0" w:space="0" w:color="auto"/>
      </w:divBdr>
      <w:divsChild>
        <w:div w:id="1934900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316520">
      <w:bodyDiv w:val="1"/>
      <w:marLeft w:val="0"/>
      <w:marRight w:val="0"/>
      <w:marTop w:val="0"/>
      <w:marBottom w:val="0"/>
      <w:divBdr>
        <w:top w:val="none" w:sz="0" w:space="0" w:color="auto"/>
        <w:left w:val="none" w:sz="0" w:space="0" w:color="auto"/>
        <w:bottom w:val="none" w:sz="0" w:space="0" w:color="auto"/>
        <w:right w:val="none" w:sz="0" w:space="0" w:color="auto"/>
      </w:divBdr>
    </w:div>
    <w:div w:id="1802455799">
      <w:bodyDiv w:val="1"/>
      <w:marLeft w:val="0"/>
      <w:marRight w:val="0"/>
      <w:marTop w:val="0"/>
      <w:marBottom w:val="0"/>
      <w:divBdr>
        <w:top w:val="none" w:sz="0" w:space="0" w:color="auto"/>
        <w:left w:val="none" w:sz="0" w:space="0" w:color="auto"/>
        <w:bottom w:val="none" w:sz="0" w:space="0" w:color="auto"/>
        <w:right w:val="none" w:sz="0" w:space="0" w:color="auto"/>
      </w:divBdr>
    </w:div>
    <w:div w:id="1821727493">
      <w:bodyDiv w:val="1"/>
      <w:marLeft w:val="0"/>
      <w:marRight w:val="0"/>
      <w:marTop w:val="0"/>
      <w:marBottom w:val="0"/>
      <w:divBdr>
        <w:top w:val="none" w:sz="0" w:space="0" w:color="auto"/>
        <w:left w:val="none" w:sz="0" w:space="0" w:color="auto"/>
        <w:bottom w:val="none" w:sz="0" w:space="0" w:color="auto"/>
        <w:right w:val="none" w:sz="0" w:space="0" w:color="auto"/>
      </w:divBdr>
      <w:divsChild>
        <w:div w:id="2072271267">
          <w:marLeft w:val="0"/>
          <w:marRight w:val="0"/>
          <w:marTop w:val="0"/>
          <w:marBottom w:val="0"/>
          <w:divBdr>
            <w:top w:val="none" w:sz="0" w:space="0" w:color="auto"/>
            <w:left w:val="none" w:sz="0" w:space="0" w:color="auto"/>
            <w:bottom w:val="none" w:sz="0" w:space="0" w:color="auto"/>
            <w:right w:val="none" w:sz="0" w:space="0" w:color="auto"/>
          </w:divBdr>
          <w:divsChild>
            <w:div w:id="4851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775">
      <w:bodyDiv w:val="1"/>
      <w:marLeft w:val="0"/>
      <w:marRight w:val="0"/>
      <w:marTop w:val="0"/>
      <w:marBottom w:val="0"/>
      <w:divBdr>
        <w:top w:val="none" w:sz="0" w:space="0" w:color="auto"/>
        <w:left w:val="none" w:sz="0" w:space="0" w:color="auto"/>
        <w:bottom w:val="none" w:sz="0" w:space="0" w:color="auto"/>
        <w:right w:val="none" w:sz="0" w:space="0" w:color="auto"/>
      </w:divBdr>
    </w:div>
    <w:div w:id="1837262021">
      <w:bodyDiv w:val="1"/>
      <w:marLeft w:val="0"/>
      <w:marRight w:val="0"/>
      <w:marTop w:val="0"/>
      <w:marBottom w:val="0"/>
      <w:divBdr>
        <w:top w:val="none" w:sz="0" w:space="0" w:color="auto"/>
        <w:left w:val="none" w:sz="0" w:space="0" w:color="auto"/>
        <w:bottom w:val="none" w:sz="0" w:space="0" w:color="auto"/>
        <w:right w:val="none" w:sz="0" w:space="0" w:color="auto"/>
      </w:divBdr>
    </w:div>
    <w:div w:id="1875996608">
      <w:bodyDiv w:val="1"/>
      <w:marLeft w:val="0"/>
      <w:marRight w:val="0"/>
      <w:marTop w:val="0"/>
      <w:marBottom w:val="0"/>
      <w:divBdr>
        <w:top w:val="none" w:sz="0" w:space="0" w:color="auto"/>
        <w:left w:val="none" w:sz="0" w:space="0" w:color="auto"/>
        <w:bottom w:val="none" w:sz="0" w:space="0" w:color="auto"/>
        <w:right w:val="none" w:sz="0" w:space="0" w:color="auto"/>
      </w:divBdr>
      <w:divsChild>
        <w:div w:id="1858153972">
          <w:marLeft w:val="0"/>
          <w:marRight w:val="0"/>
          <w:marTop w:val="0"/>
          <w:marBottom w:val="0"/>
          <w:divBdr>
            <w:top w:val="none" w:sz="0" w:space="0" w:color="auto"/>
            <w:left w:val="none" w:sz="0" w:space="0" w:color="auto"/>
            <w:bottom w:val="none" w:sz="0" w:space="0" w:color="auto"/>
            <w:right w:val="none" w:sz="0" w:space="0" w:color="auto"/>
          </w:divBdr>
          <w:divsChild>
            <w:div w:id="1126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9712">
      <w:bodyDiv w:val="1"/>
      <w:marLeft w:val="0"/>
      <w:marRight w:val="0"/>
      <w:marTop w:val="0"/>
      <w:marBottom w:val="0"/>
      <w:divBdr>
        <w:top w:val="none" w:sz="0" w:space="0" w:color="auto"/>
        <w:left w:val="none" w:sz="0" w:space="0" w:color="auto"/>
        <w:bottom w:val="none" w:sz="0" w:space="0" w:color="auto"/>
        <w:right w:val="none" w:sz="0" w:space="0" w:color="auto"/>
      </w:divBdr>
    </w:div>
    <w:div w:id="1907758615">
      <w:bodyDiv w:val="1"/>
      <w:marLeft w:val="0"/>
      <w:marRight w:val="0"/>
      <w:marTop w:val="0"/>
      <w:marBottom w:val="0"/>
      <w:divBdr>
        <w:top w:val="none" w:sz="0" w:space="0" w:color="auto"/>
        <w:left w:val="none" w:sz="0" w:space="0" w:color="auto"/>
        <w:bottom w:val="none" w:sz="0" w:space="0" w:color="auto"/>
        <w:right w:val="none" w:sz="0" w:space="0" w:color="auto"/>
      </w:divBdr>
    </w:div>
    <w:div w:id="1941334299">
      <w:bodyDiv w:val="1"/>
      <w:marLeft w:val="0"/>
      <w:marRight w:val="0"/>
      <w:marTop w:val="0"/>
      <w:marBottom w:val="0"/>
      <w:divBdr>
        <w:top w:val="none" w:sz="0" w:space="0" w:color="auto"/>
        <w:left w:val="none" w:sz="0" w:space="0" w:color="auto"/>
        <w:bottom w:val="none" w:sz="0" w:space="0" w:color="auto"/>
        <w:right w:val="none" w:sz="0" w:space="0" w:color="auto"/>
      </w:divBdr>
    </w:div>
    <w:div w:id="1959489046">
      <w:bodyDiv w:val="1"/>
      <w:marLeft w:val="0"/>
      <w:marRight w:val="0"/>
      <w:marTop w:val="0"/>
      <w:marBottom w:val="0"/>
      <w:divBdr>
        <w:top w:val="none" w:sz="0" w:space="0" w:color="auto"/>
        <w:left w:val="none" w:sz="0" w:space="0" w:color="auto"/>
        <w:bottom w:val="none" w:sz="0" w:space="0" w:color="auto"/>
        <w:right w:val="none" w:sz="0" w:space="0" w:color="auto"/>
      </w:divBdr>
    </w:div>
    <w:div w:id="1961917104">
      <w:bodyDiv w:val="1"/>
      <w:marLeft w:val="0"/>
      <w:marRight w:val="0"/>
      <w:marTop w:val="0"/>
      <w:marBottom w:val="0"/>
      <w:divBdr>
        <w:top w:val="none" w:sz="0" w:space="0" w:color="auto"/>
        <w:left w:val="none" w:sz="0" w:space="0" w:color="auto"/>
        <w:bottom w:val="none" w:sz="0" w:space="0" w:color="auto"/>
        <w:right w:val="none" w:sz="0" w:space="0" w:color="auto"/>
      </w:divBdr>
    </w:div>
    <w:div w:id="1986427438">
      <w:bodyDiv w:val="1"/>
      <w:marLeft w:val="0"/>
      <w:marRight w:val="0"/>
      <w:marTop w:val="0"/>
      <w:marBottom w:val="0"/>
      <w:divBdr>
        <w:top w:val="none" w:sz="0" w:space="0" w:color="auto"/>
        <w:left w:val="none" w:sz="0" w:space="0" w:color="auto"/>
        <w:bottom w:val="none" w:sz="0" w:space="0" w:color="auto"/>
        <w:right w:val="none" w:sz="0" w:space="0" w:color="auto"/>
      </w:divBdr>
    </w:div>
    <w:div w:id="1998149659">
      <w:bodyDiv w:val="1"/>
      <w:marLeft w:val="0"/>
      <w:marRight w:val="0"/>
      <w:marTop w:val="0"/>
      <w:marBottom w:val="0"/>
      <w:divBdr>
        <w:top w:val="none" w:sz="0" w:space="0" w:color="auto"/>
        <w:left w:val="none" w:sz="0" w:space="0" w:color="auto"/>
        <w:bottom w:val="none" w:sz="0" w:space="0" w:color="auto"/>
        <w:right w:val="none" w:sz="0" w:space="0" w:color="auto"/>
      </w:divBdr>
    </w:div>
    <w:div w:id="2035962777">
      <w:bodyDiv w:val="1"/>
      <w:marLeft w:val="0"/>
      <w:marRight w:val="0"/>
      <w:marTop w:val="0"/>
      <w:marBottom w:val="0"/>
      <w:divBdr>
        <w:top w:val="none" w:sz="0" w:space="0" w:color="auto"/>
        <w:left w:val="none" w:sz="0" w:space="0" w:color="auto"/>
        <w:bottom w:val="none" w:sz="0" w:space="0" w:color="auto"/>
        <w:right w:val="none" w:sz="0" w:space="0" w:color="auto"/>
      </w:divBdr>
    </w:div>
    <w:div w:id="2075078007">
      <w:bodyDiv w:val="1"/>
      <w:marLeft w:val="0"/>
      <w:marRight w:val="0"/>
      <w:marTop w:val="0"/>
      <w:marBottom w:val="0"/>
      <w:divBdr>
        <w:top w:val="none" w:sz="0" w:space="0" w:color="auto"/>
        <w:left w:val="none" w:sz="0" w:space="0" w:color="auto"/>
        <w:bottom w:val="none" w:sz="0" w:space="0" w:color="auto"/>
        <w:right w:val="none" w:sz="0" w:space="0" w:color="auto"/>
      </w:divBdr>
    </w:div>
    <w:div w:id="2076318280">
      <w:bodyDiv w:val="1"/>
      <w:marLeft w:val="0"/>
      <w:marRight w:val="0"/>
      <w:marTop w:val="0"/>
      <w:marBottom w:val="0"/>
      <w:divBdr>
        <w:top w:val="none" w:sz="0" w:space="0" w:color="auto"/>
        <w:left w:val="none" w:sz="0" w:space="0" w:color="auto"/>
        <w:bottom w:val="none" w:sz="0" w:space="0" w:color="auto"/>
        <w:right w:val="none" w:sz="0" w:space="0" w:color="auto"/>
      </w:divBdr>
    </w:div>
    <w:div w:id="207777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3389/fams.2024.1276218" TargetMode="External"/><Relationship Id="rId18" Type="http://schemas.openxmlformats.org/officeDocument/2006/relationships/hyperlink" Target="https://www.weforum.org/stories/2023/11/africa-digital-mobile-banking-financial-inclusion/"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imf.org/en/Publications/selected-issues-papers/Issues/2023/03/07/Nigeria-Fostering-Financial-Inclusion-through-Digital-Financial-Services-Nigeria-Nigeria-530633" TargetMode="External"/><Relationship Id="rId17" Type="http://schemas.openxmlformats.org/officeDocument/2006/relationships/hyperlink" Target="https://www.worldbank.org/en/topic/financialinclusion/overview" TargetMode="External"/><Relationship Id="rId2" Type="http://schemas.openxmlformats.org/officeDocument/2006/relationships/styles" Target="styles.xml"/><Relationship Id="rId16" Type="http://schemas.openxmlformats.org/officeDocument/2006/relationships/hyperlink" Target="https://doi.org/10.1080/23311886.2024.23090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fina.org.ng/our-work/research/access/" TargetMode="External"/><Relationship Id="rId5" Type="http://schemas.openxmlformats.org/officeDocument/2006/relationships/webSettings" Target="webSettings.xml"/><Relationship Id="rId15" Type="http://schemas.openxmlformats.org/officeDocument/2006/relationships/hyperlink" Target="https://www.womensworldbanking.org/insights/financial-inclusion-in-nigeria-ngx-regulation-limited-case-study/" TargetMode="External"/><Relationship Id="rId10" Type="http://schemas.openxmlformats.org/officeDocument/2006/relationships/hyperlink" Target="https://www.cbn.gov.ng/dfd/Financialinclusion.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loomberg.com/news/articles/2023-12-15/nigeria-increases-financial-inclusion-but-still-far-from-goal" TargetMode="External"/><Relationship Id="rId14" Type="http://schemas.openxmlformats.org/officeDocument/2006/relationships/hyperlink" Target="https://nairametrics.com/2025/02/20/from-emtl-to-atm-multiple-charges-cast-shadows-over-nigerias-financial-inclusion-eff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18</Pages>
  <Words>6086</Words>
  <Characters>34696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Chris Ijeoma</dc:creator>
  <cp:keywords/>
  <dc:description/>
  <cp:lastModifiedBy>Mr Brine</cp:lastModifiedBy>
  <cp:revision>33</cp:revision>
  <dcterms:created xsi:type="dcterms:W3CDTF">2025-06-18T13:12:00Z</dcterms:created>
  <dcterms:modified xsi:type="dcterms:W3CDTF">2025-07-22T00:09:00Z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38a16627-669a-4156-8a7a-dc49eec5a5f5</vt:lpwstr>
  </property>
</Properties>
</file>