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mbria" w:cs="Cambria" w:eastAsia="Cambria" w:hAnsi="Cambria"/>
          <w:b/>
          <w:bCs/>
          <w:sz w:val="30"/>
          <w:szCs w:val="30"/>
        </w:rPr>
        <w:t xml:space="preserve">ZK-OAuthChain : une architecture d'autorisation décentralisée, confidentielle et formellement vérifiable fusionnant OAuth 2.0, blockchain et preuves à connaissance nulle</w:t>
      </w:r>
    </w:p>
    <w:p>
      <w:pPr>
        <w:spacing w:after="360"/>
        <w:jc w:val="center"/>
      </w:pPr>
      <w:r>
        <w:rPr>
          <w:rFonts w:ascii="Cambria" w:cs="Cambria" w:eastAsia="Cambria" w:hAnsi="Cambria"/>
          <w:i/>
          <w:iCs/>
          <w:color w:val="444444"/>
          <w:sz w:val="23"/>
          <w:szCs w:val="23"/>
        </w:rPr>
        <w:t xml:space="preserve">Liaison de contexte, vérification formelle exécutée et évaluation expérimentale</w:t>
      </w:r>
    </w:p>
    <w:p>
      <w:pPr>
        <w:pStyle w:val="Heading1"/>
        <w:spacing w:after="140" w:before="360"/>
      </w:pPr>
      <w:r>
        <w:rPr>
          <w:rFonts w:ascii="Cambria" w:cs="Cambria" w:eastAsia="Cambria" w:hAnsi="Cambria"/>
          <w:b/>
          <w:bCs/>
          <w:color w:val="1A1A1A"/>
          <w:sz w:val="28"/>
          <w:szCs w:val="28"/>
        </w:rPr>
        <w:t xml:space="preserve">Résumé</w:t>
      </w:r>
    </w:p>
    <w:p>
      <w:pPr>
        <w:spacing w:after="120" w:before="0" w:line="276"/>
        <w:jc w:val="both"/>
      </w:pPr>
      <w:r>
        <w:rPr>
          <w:rFonts w:ascii="Cambria" w:cs="Cambria" w:eastAsia="Cambria" w:hAnsi="Cambria"/>
          <w:sz w:val="21"/>
          <w:szCs w:val="21"/>
        </w:rPr>
        <w:t xml:space="preserve">Le protocole OAuth 2.0 constitue la norme principale de délégation d'autorisation dans les systèmes connectés. Son architecture centralisée engendre cependant un point de défaillance unique (Single Point of Failure, SPOF), une faible résilience et une dépendance à un serveur d'autorisation central. La blockchain apporte décentralisation et traçabilité, mais au prix d'une transparence qui compromet la confidentialité.</w:t>
      </w:r>
    </w:p>
    <w:p>
      <w:pPr>
        <w:spacing w:after="120" w:before="0" w:line="276"/>
        <w:jc w:val="both"/>
      </w:pPr>
      <w:r>
        <w:rPr>
          <w:rFonts w:ascii="Cambria" w:cs="Cambria" w:eastAsia="Cambria" w:hAnsi="Cambria"/>
          <w:sz w:val="21"/>
          <w:szCs w:val="21"/>
        </w:rPr>
        <w:t xml:space="preserve">Cet article propose ZK-OAuthChain, une architecture hybride fusionnant OAuth 2.0, la blockchain et les preuves à connaissance nulle (Zero-Knowledge Proofs, ZKP), et en démontre la faisabilité technique par une implémentation complète et son évaluation expérimentale. L'analyse récente de zkLogin (Celi et al., 2026) établit que les vulnérabilités des systèmes d'autorisation à connaissance nulle déployés ne sont pas cryptographiques, mais découlent d'une liaison insuffisante entre émetteur, audience, sujet et partie utilisatrice. Nous en tirons la conséquence au niveau du protocole : l'engagement scelle le contexte d'autorisation complet, et quatre de ses composantes sont rendues opposables au vérificateur.</w:t>
      </w:r>
    </w:p>
    <w:p>
      <w:pPr>
        <w:spacing w:after="120" w:before="0" w:line="276"/>
        <w:jc w:val="both"/>
      </w:pPr>
      <w:r>
        <w:rPr>
          <w:rFonts w:ascii="Cambria" w:cs="Cambria" w:eastAsia="Cambria" w:hAnsi="Cambria"/>
          <w:sz w:val="21"/>
          <w:szCs w:val="21"/>
        </w:rPr>
        <w:t xml:space="preserve">Le circuit, écrit en Circom, prouve conjointement la liaison de contexte, le hachage d'engagement, l'appartenance à un arbre de Merkle et la non-révocation, et publie un nullifieur anti-rejeu séparé par domaine. Il compile en 25 383 contraintes R1CS et produit une preuve Groth16 de 256 octets, de taille constante.</w:t>
      </w:r>
    </w:p>
    <w:p>
      <w:pPr>
        <w:spacing w:after="120" w:before="0" w:line="276"/>
        <w:jc w:val="both"/>
      </w:pPr>
      <w:r>
        <w:rPr>
          <w:rFonts w:ascii="Cambria" w:cs="Cambria" w:eastAsia="Cambria" w:hAnsi="Cambria"/>
          <w:sz w:val="21"/>
          <w:szCs w:val="21"/>
        </w:rPr>
        <w:t xml:space="preserve">Quatre propriétés de sécurité sont définies par jeux d'adversaire, puis </w:t>
      </w:r>
      <w:r>
        <w:rPr>
          <w:rFonts w:ascii="Cambria" w:cs="Cambria" w:eastAsia="Cambria" w:hAnsi="Cambria"/>
          <w:b/>
          <w:bCs/>
          <w:sz w:val="21"/>
          <w:szCs w:val="21"/>
        </w:rPr>
        <w:t xml:space="preserve">effectivement vérifiées</w:t>
      </w:r>
      <w:r>
        <w:rPr>
          <w:rFonts w:ascii="Cambria" w:cs="Cambria" w:eastAsia="Cambria" w:hAnsi="Cambria"/>
          <w:sz w:val="21"/>
          <w:szCs w:val="21"/>
        </w:rPr>
        <w:t xml:space="preserve">. Le model-checking exhaustif du modèle B (ProB) exhibe un contre-exemple sur la version naïve du contrat — un aliasing d'engagement qui permet à un détenteur de conserver un jeton révoqué — puis établit les invariants sur la version durcie en explorant 8 600 états et 48 379 transitions. Le SMTChecker de solc (moteur CHC, solveur z3) démontre 4 obligations de preuve directement sur le code Solidity.</w:t>
      </w:r>
    </w:p>
    <w:p>
      <w:pPr>
        <w:spacing w:after="120" w:before="0" w:line="276"/>
        <w:jc w:val="both"/>
      </w:pPr>
      <w:r>
        <w:rPr>
          <w:rFonts w:ascii="Cambria" w:cs="Cambria" w:eastAsia="Cambria" w:hAnsi="Cambria"/>
          <w:sz w:val="21"/>
          <w:szCs w:val="21"/>
        </w:rPr>
        <w:t xml:space="preserve">La vérification on-chain d'une autorisation coûte 238 785 gas pour la seule preuve et 348 917 gas pour l'autorisation complète, indépendamment du nombre de jetons émis — un coût qui se situe entre les 210 000 gas rapportés pour LinkDID (zk-SNARK) et les 280 000 gas d'un cadre zk-STARK comparable. La latence totale du flux atteint 1 840,31 ms contre 4,81 ms pour un flux OAuth 2.0 classique ; la génération de preuve en représente 95,1 %. À taille de circuit quasi identique, la comparaison avec zkAt situe cet écart dans l'outillage de preuve plutôt que dans la conception du protocole.</w:t>
      </w:r>
    </w:p>
    <w:p>
      <w:pPr>
        <w:spacing w:after="120" w:before="0" w:line="276"/>
        <w:jc w:val="both"/>
      </w:pPr>
      <w:r>
        <w:rPr>
          <w:rFonts w:ascii="Cambria" w:cs="Cambria" w:eastAsia="Cambria" w:hAnsi="Cambria"/>
          <w:b/>
          <w:bCs/>
          <w:sz w:val="21"/>
          <w:szCs w:val="21"/>
        </w:rPr>
        <w:t xml:space="preserve">Mots-clés : </w:t>
      </w:r>
      <w:r>
        <w:rPr>
          <w:rFonts w:ascii="Cambria" w:cs="Cambria" w:eastAsia="Cambria" w:hAnsi="Cambria"/>
          <w:i/>
          <w:iCs/>
          <w:sz w:val="21"/>
          <w:szCs w:val="21"/>
        </w:rPr>
        <w:t xml:space="preserve">OAuth 2.0, blockchain, preuve à connaissance nulle, Groth16, liaison d'audience, vérification formelle, Méthode B, contrat intelligent.</w:t>
      </w:r>
    </w:p>
    <w:p>
      <w:pPr>
        <w:pStyle w:val="Heading1"/>
        <w:spacing w:after="140" w:before="360"/>
      </w:pPr>
      <w:r>
        <w:rPr>
          <w:rFonts w:ascii="Cambria" w:cs="Cambria" w:eastAsia="Cambria" w:hAnsi="Cambria"/>
          <w:b/>
          <w:bCs/>
          <w:color w:val="1A1A1A"/>
          <w:sz w:val="28"/>
          <w:szCs w:val="28"/>
        </w:rPr>
        <w:t xml:space="preserve">1. Introduction</w:t>
      </w:r>
    </w:p>
    <w:p>
      <w:pPr>
        <w:spacing w:after="120" w:before="0" w:line="276"/>
        <w:jc w:val="both"/>
      </w:pPr>
      <w:r>
        <w:rPr>
          <w:rFonts w:ascii="Cambria" w:cs="Cambria" w:eastAsia="Cambria" w:hAnsi="Cambria"/>
          <w:sz w:val="21"/>
          <w:szCs w:val="21"/>
        </w:rPr>
        <w:t xml:space="preserve">Le contrôle d'accès délégué entre applications et API repose aujourd'hui majoritairement sur OAuth 2.0 (Hardt, 2012) [6]. Ce protocole, bien que robuste et standardisé, reste structurellement centralisé : un unique Serveur d'Autorisation (AS) émet et valide les jetons. La compromission ou l'indisponibilité de ce serveur provoque un point de défaillance unique, exposant les systèmes à des risques de compromission ou de perte de service (RFC 6819).</w:t>
      </w:r>
    </w:p>
    <w:p>
      <w:pPr>
        <w:spacing w:after="120" w:before="0" w:line="276"/>
        <w:jc w:val="both"/>
      </w:pPr>
      <w:r>
        <w:rPr>
          <w:rFonts w:ascii="Cambria" w:cs="Cambria" w:eastAsia="Cambria" w:hAnsi="Cambria"/>
          <w:sz w:val="21"/>
          <w:szCs w:val="21"/>
        </w:rPr>
        <w:t xml:space="preserve">La blockchain offre une alternative crédible grâce à sa décentralisation et à son immuabilité. Sa transparence native expose cependant les métadonnées des utilisateurs et contrevient aux exigences de confidentialité imposées notamment par le Règlement Général sur la Protection des Données (RGPD). Les preuves à connaissance nulle répondent à ce paradoxe : elles permettent de vérifier une information sans la révéler.</w:t>
      </w:r>
    </w:p>
    <w:p>
      <w:pPr>
        <w:spacing w:after="120" w:before="0" w:line="276"/>
        <w:jc w:val="both"/>
      </w:pPr>
      <w:r>
        <w:rPr>
          <w:rFonts w:ascii="Cambria" w:cs="Cambria" w:eastAsia="Cambria" w:hAnsi="Cambria"/>
          <w:b/>
          <w:bCs/>
          <w:sz w:val="21"/>
          <w:szCs w:val="21"/>
        </w:rPr>
        <w:t xml:space="preserve">Une leçon récente oriente cependant la conception. </w:t>
      </w:r>
      <w:r>
        <w:rPr>
          <w:rFonts w:ascii="Cambria" w:cs="Cambria" w:eastAsia="Cambria" w:hAnsi="Cambria"/>
          <w:sz w:val="21"/>
          <w:szCs w:val="21"/>
        </w:rPr>
        <w:t xml:space="preserve">L'analyse de zkLogin par Celi et al. (2026) [11] — le système d'autorisation à connaissance nulle le plus largement déployé — identifie trois classes de vulnérabilités, dont aucune n'est de nature cryptographique. La plus structurante tient à la transformation d'artefacts d'authentification éphémères en autorisations durables sans imposer leur contexte d'émission — émetteur, audience, sujet, validité temporelle — ce qui ouvre la voie à l'usurpation inter-applications. La sécurité d'un tel système ne se réduit donc pas à celle de sa preuve : elle dépend de ce que cette preuve lie.</w:t>
      </w:r>
    </w:p>
    <w:p>
      <w:pPr>
        <w:spacing w:after="120" w:before="0" w:line="276"/>
        <w:jc w:val="both"/>
      </w:pPr>
      <w:r>
        <w:rPr>
          <w:rFonts w:ascii="Cambria" w:cs="Cambria" w:eastAsia="Cambria" w:hAnsi="Cambria"/>
          <w:sz w:val="21"/>
          <w:szCs w:val="21"/>
        </w:rPr>
        <w:t xml:space="preserve">La contribution de cet article est triple. Premièrement, sur le plan de la conception, nous élevons la liaison de contexte au rang de propriété de protocole : l'engagement cryptographique scelle le quadruplet (émetteur, audience, sujet, Serveur de Ressource) ainsi qu'un séparateur de domaine, et le contrat impose cette liaison à la consommation. Deuxièmement, nous définissons quatre propriétés de sécurité par jeux d'adversaire et exécutons effectivement la vérification formelle des invariants correspondants, dont nous présentons les résultats. Troisièmement, nous mesurons le coût réel du protocole et le positionnons chiffre contre chiffre face à l'état de l'art 2025-2026 ainsi qu'à un flux OAuth 2.0 de référence.</w:t>
      </w:r>
    </w:p>
    <w:p>
      <w:pPr>
        <w:pStyle w:val="Heading1"/>
        <w:spacing w:after="140" w:before="360"/>
      </w:pPr>
      <w:r>
        <w:rPr>
          <w:rFonts w:ascii="Cambria" w:cs="Cambria" w:eastAsia="Cambria" w:hAnsi="Cambria"/>
          <w:b/>
          <w:bCs/>
          <w:color w:val="1A1A1A"/>
          <w:sz w:val="28"/>
          <w:szCs w:val="28"/>
        </w:rPr>
        <w:t xml:space="preserve">2. Travaux connexes et fondements théoriques</w:t>
      </w:r>
    </w:p>
    <w:p>
      <w:pPr>
        <w:pStyle w:val="Heading2"/>
        <w:spacing w:after="140" w:before="240"/>
      </w:pPr>
      <w:r>
        <w:rPr>
          <w:rFonts w:ascii="Cambria" w:cs="Cambria" w:eastAsia="Cambria" w:hAnsi="Cambria"/>
          <w:b/>
          <w:bCs/>
          <w:color w:val="1A1A1A"/>
          <w:sz w:val="24"/>
          <w:szCs w:val="24"/>
        </w:rPr>
        <w:t xml:space="preserve">2.1. OAuth 2.0 et ses limites</w:t>
      </w:r>
    </w:p>
    <w:p>
      <w:pPr>
        <w:spacing w:after="120" w:before="0" w:line="276"/>
        <w:jc w:val="both"/>
      </w:pPr>
      <w:r>
        <w:rPr>
          <w:rFonts w:ascii="Cambria" w:cs="Cambria" w:eastAsia="Cambria" w:hAnsi="Cambria"/>
          <w:sz w:val="21"/>
          <w:szCs w:val="21"/>
        </w:rPr>
        <w:t xml:space="preserve">OAuth 2.0 définit un cadre de délégation entre un client, un serveur de ressource et un serveur d'autorisation (Hardt, 2012) [6]. Sa dépendance à un serveur central crée un SPOF, et les mécanismes d'introspection rendent la validation des jetons dépendante d'un aller-retour réseau vers ce serveur. Les attaques connues incluent la falsification de jeton, l'hameçonnage et le vol de jetons d'actualisation (Lodderstedt et al., 2013) [7].</w:t>
      </w:r>
    </w:p>
    <w:p>
      <w:pPr>
        <w:pStyle w:val="Heading2"/>
        <w:spacing w:after="140" w:before="240"/>
      </w:pPr>
      <w:r>
        <w:rPr>
          <w:rFonts w:ascii="Cambria" w:cs="Cambria" w:eastAsia="Cambria" w:hAnsi="Cambria"/>
          <w:b/>
          <w:bCs/>
          <w:color w:val="1A1A1A"/>
          <w:sz w:val="24"/>
          <w:szCs w:val="24"/>
        </w:rPr>
        <w:t xml:space="preserve">2.2. Blockchain et contrôle d'accès</w:t>
      </w:r>
    </w:p>
    <w:p>
      <w:pPr>
        <w:spacing w:after="120" w:before="0" w:line="276"/>
        <w:jc w:val="both"/>
      </w:pPr>
      <w:r>
        <w:rPr>
          <w:rFonts w:ascii="Cambria" w:cs="Cambria" w:eastAsia="Cambria" w:hAnsi="Cambria"/>
          <w:sz w:val="21"/>
          <w:szCs w:val="21"/>
        </w:rPr>
        <w:t xml:space="preserve">La blockchain a été introduite pour décentraliser l'identité et l'autorisation (Fotiou et al., 2020) [4]. Des modèles tels que ContractAS ou les jetons ERC-721 gèrent la révocation d'accès via des contrats intelligents. La transparence sur la chaîne viole toutefois la confidentialité : chaque transaction reste visible et immuable. La décentralisation résout le SPOF mais introduit un risque de divulgation permanente.</w:t>
      </w:r>
    </w:p>
    <w:p>
      <w:pPr>
        <w:pStyle w:val="Heading2"/>
        <w:spacing w:after="140" w:before="240"/>
      </w:pPr>
      <w:r>
        <w:rPr>
          <w:rFonts w:ascii="Cambria" w:cs="Cambria" w:eastAsia="Cambria" w:hAnsi="Cambria"/>
          <w:b/>
          <w:bCs/>
          <w:color w:val="1A1A1A"/>
          <w:sz w:val="24"/>
          <w:szCs w:val="24"/>
        </w:rPr>
        <w:t xml:space="preserve">2.3. Confidentialité et preuves à connaissance nulle</w:t>
      </w:r>
    </w:p>
    <w:p>
      <w:pPr>
        <w:spacing w:after="120" w:before="0" w:line="276"/>
        <w:jc w:val="both"/>
      </w:pPr>
      <w:r>
        <w:rPr>
          <w:rFonts w:ascii="Cambria" w:cs="Cambria" w:eastAsia="Cambria" w:hAnsi="Cambria"/>
          <w:sz w:val="21"/>
          <w:szCs w:val="21"/>
        </w:rPr>
        <w:t xml:space="preserve">Les preuves à connaissance nulle (Goldwasser et al., 1989) [5] permettent de prouver la possession d'un secret sans le révéler. Groth16 (Groth, 2016) [8] en fournit l'instanciation la plus compacte : une preuve de taille constante, indépendante de la taille du témoin, au prix d'un setup de confiance spécifique au circuit. Le hachage Poseidon (Grassi et al., 2021) [9], conçu pour les systèmes de preuve, réduit d'un ordre de grandeur le coût d'une évaluation de hachage en circuit par rapport à SHA-256.</w:t>
      </w:r>
    </w:p>
    <w:p>
      <w:pPr>
        <w:pStyle w:val="Heading2"/>
        <w:spacing w:after="140" w:before="240"/>
      </w:pPr>
      <w:r>
        <w:rPr>
          <w:rFonts w:ascii="Cambria" w:cs="Cambria" w:eastAsia="Cambria" w:hAnsi="Cambria"/>
          <w:b/>
          <w:bCs/>
          <w:color w:val="1A1A1A"/>
          <w:sz w:val="24"/>
          <w:szCs w:val="24"/>
        </w:rPr>
        <w:t xml:space="preserve">2.4. Vérification formelle des contrats intelligents</w:t>
      </w:r>
    </w:p>
    <w:p>
      <w:pPr>
        <w:spacing w:after="120" w:before="0" w:line="276"/>
        <w:jc w:val="both"/>
      </w:pPr>
      <w:r>
        <w:rPr>
          <w:rFonts w:ascii="Cambria" w:cs="Cambria" w:eastAsia="Cambria" w:hAnsi="Cambria"/>
          <w:sz w:val="21"/>
          <w:szCs w:val="21"/>
        </w:rPr>
        <w:t xml:space="preserve">Les contrats intelligents sont immuables une fois déployés : une erreur de logique peut être fatale (Bhargavan et al., 2021) [3]. La vérification formelle applique des méthodes mathématiques pour démontrer la conformité d'un système à sa spécification ; sa portée reste bornée par le modèle considéré et par la complétude de l'outil employé.</w:t>
      </w:r>
    </w:p>
    <w:p>
      <w:pPr>
        <w:spacing w:after="120" w:before="0" w:line="276"/>
        <w:jc w:val="both"/>
      </w:pPr>
      <w:r>
        <w:rPr>
          <w:rFonts w:ascii="Cambria" w:cs="Cambria" w:eastAsia="Cambria" w:hAnsi="Cambria"/>
          <w:b/>
          <w:bCs/>
          <w:sz w:val="21"/>
          <w:szCs w:val="21"/>
        </w:rPr>
        <w:t xml:space="preserve">Un manque reconnu : la vérification de la conception, et non du seul code. </w:t>
      </w:r>
      <w:r>
        <w:rPr>
          <w:rFonts w:ascii="Cambria" w:cs="Cambria" w:eastAsia="Cambria" w:hAnsi="Cambria"/>
          <w:sz w:val="21"/>
          <w:szCs w:val="21"/>
        </w:rPr>
        <w:t xml:space="preserve">La revue systématique de Davila et al. (2025) [14], qui couvre la littérature du domaine, établit deux constats convergents. D'une part, l'essentiel des travaux porte sur la vérification de l'implémentation et de l'exécution des contrats, et les auteurs identifient explicitement le besoin de vérifier leur conception comme un axe insuffisamment traité — ils le désignent en conclusion comme « une opportunité à explorer ». D'autre part, le model-checking y apparaît comme la méthode la plus répandue pour établir les propriétés d'un contrat, en particulier durant la phase de développement, c'est-à-dire avant déploiement, là où une correction reste possible.</w:t>
      </w:r>
    </w:p>
    <w:p>
      <w:pPr>
        <w:spacing w:after="120" w:before="0" w:line="276"/>
        <w:jc w:val="both"/>
      </w:pPr>
      <w:r>
        <w:rPr>
          <w:rFonts w:ascii="Cambria" w:cs="Cambria" w:eastAsia="Cambria" w:hAnsi="Cambria"/>
          <w:sz w:val="21"/>
          <w:szCs w:val="21"/>
        </w:rPr>
        <w:t xml:space="preserve">Ce diagnostic situe directement notre démarche. La Section 5 établit les invariants sur une spécification en Méthode B — donc sur la conception, indépendamment du langage d'implémentation — avant de les confronter au code Solidity ; et elle le fait par model-checking exhaustif, la méthode que Davila et al. identifient comme dominante pour cet usage. Là où ces auteurs proposent la logique de description pour combler le manque, nous employons la Méthode B ; l'objet visé est le même. Le Résultat 1 de la Section 5.2 montre concrètement ce que la vérification au niveau de la conception permet de capturer : un défaut présent dans la spécification elle-même, qu'aucune analyse du code déployé n'aurait signalé puisqu'il aurait été fidèlement implémenté.</w:t>
      </w:r>
    </w:p>
    <w:p>
      <w:pPr>
        <w:pStyle w:val="Heading2"/>
        <w:spacing w:after="140" w:before="240"/>
      </w:pPr>
      <w:r>
        <w:rPr>
          <w:rFonts w:ascii="Cambria" w:cs="Cambria" w:eastAsia="Cambria" w:hAnsi="Cambria"/>
          <w:b/>
          <w:bCs/>
          <w:color w:val="1A1A1A"/>
          <w:sz w:val="24"/>
          <w:szCs w:val="24"/>
        </w:rPr>
        <w:t xml:space="preserve">2.5. Enseignements des systèmes d'autorisation à connaissance nulle déployés</w:t>
      </w:r>
    </w:p>
    <w:p>
      <w:pPr>
        <w:spacing w:after="120" w:before="0" w:line="276"/>
        <w:jc w:val="both"/>
      </w:pPr>
      <w:r>
        <w:rPr>
          <w:rFonts w:ascii="Cambria" w:cs="Cambria" w:eastAsia="Cambria" w:hAnsi="Cambria"/>
          <w:sz w:val="21"/>
          <w:szCs w:val="21"/>
        </w:rPr>
        <w:t xml:space="preserve">Trois travaux récents encadrent directement notre conception.</w:t>
      </w:r>
    </w:p>
    <w:p>
      <w:pPr>
        <w:spacing w:after="120" w:before="0" w:line="276"/>
        <w:jc w:val="both"/>
      </w:pPr>
      <w:r>
        <w:rPr>
          <w:rFonts w:ascii="Cambria" w:cs="Cambria" w:eastAsia="Cambria" w:hAnsi="Cambria"/>
          <w:b/>
          <w:bCs/>
          <w:sz w:val="21"/>
          <w:szCs w:val="21"/>
        </w:rPr>
        <w:t xml:space="preserve">zkLogin et ses vulnérabilités. </w:t>
      </w:r>
      <w:r>
        <w:rPr>
          <w:rFonts w:ascii="Cambria" w:cs="Cambria" w:eastAsia="Cambria" w:hAnsi="Cambria"/>
          <w:sz w:val="21"/>
          <w:szCs w:val="21"/>
        </w:rPr>
        <w:t xml:space="preserve">Celi et al. (2026) [11] montrent que la sécurité de zkLogin repose sur des hypothèses non cryptographiques jamais spécifiées au niveau du protocole : analyse canonique des revendications JWT, politique de confiance envers les émetteurs, et surtout liaison architecturale. Leur recommandation est explicite : la génération et la vérification de preuve doivent être autorisées uniquement pour des quadruplets cohérents (émetteur, audience, sujet, identité de la partie utilisatrice), et le sujet doit être interprété dans l'espace de noms de son émetteur. Ils relèvent en outre que le nonce de zkLogin sert l'inaliénabilité du lien entre époques, et non la fraîcheur : la protection contre le rejeu y est absente au niveau du protocole.</w:t>
      </w:r>
    </w:p>
    <w:p>
      <w:pPr>
        <w:spacing w:after="120" w:before="0" w:line="276"/>
        <w:jc w:val="both"/>
      </w:pPr>
      <w:r>
        <w:rPr>
          <w:rFonts w:ascii="Cambria" w:cs="Cambria" w:eastAsia="Cambria" w:hAnsi="Cambria"/>
          <w:b/>
          <w:bCs/>
          <w:sz w:val="21"/>
          <w:szCs w:val="21"/>
        </w:rPr>
        <w:t xml:space="preserve">ZK-ACE. </w:t>
      </w:r>
      <w:r>
        <w:rPr>
          <w:rFonts w:ascii="Cambria" w:cs="Cambria" w:eastAsia="Cambria" w:hAnsi="Cambria"/>
          <w:sz w:val="21"/>
          <w:szCs w:val="21"/>
        </w:rPr>
        <w:t xml:space="preserve">Wang (2026) [12] propose une couche d'autorisation qui remplace les objets de signature post-quantiques par des énoncés d'autorisation liés à l'identité. Deux éléments de sa méthodologie nous servent directement : une spécification de circuit en cinq contraintes dont une contrainte explicite de séparation de domaine, imposant que le domaine déclaré apparaisse dans l'engagement, dans la liaison d'autorisation et dans la valeur anti-rejeu ; et un ensemble de définitions de sécurité par jeux avec preuves par réduction. Son circuit mesuré compte 4 024 contraintes R1CS.</w:t>
      </w:r>
    </w:p>
    <w:p>
      <w:pPr>
        <w:spacing w:after="120" w:before="0" w:line="276"/>
        <w:jc w:val="both"/>
      </w:pPr>
      <w:r>
        <w:rPr>
          <w:rFonts w:ascii="Cambria" w:cs="Cambria" w:eastAsia="Cambria" w:hAnsi="Cambria"/>
          <w:b/>
          <w:bCs/>
          <w:sz w:val="21"/>
          <w:szCs w:val="21"/>
        </w:rPr>
        <w:t xml:space="preserve">zkAt. </w:t>
      </w:r>
      <w:r>
        <w:rPr>
          <w:rFonts w:ascii="Cambria" w:cs="Cambria" w:eastAsia="Cambria" w:hAnsi="Cambria"/>
          <w:sz w:val="21"/>
          <w:szCs w:val="21"/>
        </w:rPr>
        <w:t xml:space="preserve">Chalkias et al. (2025) [13] introduisent les authentificateurs à connaissance nulle, qui préservent la confidentialité de la politique d'authentification elle-même. Leur implémentation Groth16 sur BN254 compte 24 564 contraintes, soit une taille quasi identique à la nôtre : elle constitue de ce fait notre point de comparaison le plus rigoureux (Section 7.5).</w:t>
      </w:r>
    </w:p>
    <w:p>
      <w:pPr>
        <w:spacing w:after="120" w:before="0" w:line="276"/>
        <w:jc w:val="both"/>
      </w:pPr>
      <w:r>
        <w:rPr>
          <w:rFonts w:ascii="Cambria" w:cs="Cambria" w:eastAsia="Cambria" w:hAnsi="Cambria"/>
          <w:b/>
          <w:bCs/>
          <w:sz w:val="21"/>
          <w:szCs w:val="21"/>
        </w:rPr>
        <w:t xml:space="preserve">La résistance post-quantique devient un critère attendu. </w:t>
      </w:r>
      <w:r>
        <w:rPr>
          <w:rFonts w:ascii="Cambria" w:cs="Cambria" w:eastAsia="Cambria" w:hAnsi="Cambria"/>
          <w:sz w:val="21"/>
          <w:szCs w:val="21"/>
        </w:rPr>
        <w:t xml:space="preserve">Radanliev et al. (2025) [20] proposent un cadre d'identité numérique conforme aux standards post-quantiques du NIST et relèvent qu'« aucun cadre d'identité déployé ne fournit simultanément la sécurité post-quantique, des garanties cryptographiques de confidentialité et une confiance décentralisée ». Leur trajectoire de migration prévoit une phase d'imposition stricte des primitives post-quantiques. Un point mérite toutefois d'être relevé, car il nuance la lecture habituelle : leur couche de signature emploie bien Kyber et Dilithium, mais leur couche de preuve à connaissance nulle reste instanciée en zk-SNARK Groth16. ZK-ACE, dont la motivation est explicitement post-quantique, fait le même choix. L'effort de migration s'est donc concentré sur les signatures et laisse le système de preuve comme dépendance classique résiduelle — une asymétrie que nous reprenons en discussion (Section 8.2).</w:t>
      </w:r>
    </w:p>
    <w:p>
      <w:pPr>
        <w:pStyle w:val="Heading2"/>
        <w:spacing w:after="140" w:before="240"/>
      </w:pPr>
      <w:r>
        <w:rPr>
          <w:rFonts w:ascii="Cambria" w:cs="Cambria" w:eastAsia="Cambria" w:hAnsi="Cambria"/>
          <w:b/>
          <w:bCs/>
          <w:color w:val="1A1A1A"/>
          <w:sz w:val="24"/>
          <w:szCs w:val="24"/>
        </w:rPr>
        <w:t xml:space="preserve">2.6. Synthèse comparative des architectures décentralisées existantes</w:t>
      </w:r>
    </w:p>
    <w:p>
      <w:pPr>
        <w:spacing w:after="80" w:before="200"/>
        <w:jc w:val="left"/>
      </w:pPr>
      <w:r>
        <w:rPr>
          <w:rFonts w:ascii="Cambria" w:cs="Cambria" w:eastAsia="Cambria" w:hAnsi="Cambria"/>
          <w:b/>
          <w:bCs/>
          <w:sz w:val="19"/>
          <w:szCs w:val="19"/>
        </w:rPr>
        <w:t xml:space="preserve">Tableau 1 — Positionnement de ZK-OAuthChain</w:t>
      </w:r>
    </w:p>
    <w:tbl>
      <w:tblPr>
        <w:tblW w:type="dxa" w:w="9070"/>
        <w:tblBorders>
          <w:top w:val="single" w:color="AAB4C0" w:sz="3"/>
          <w:left w:val="single" w:color="AAB4C0" w:sz="3"/>
          <w:bottom w:val="single" w:color="AAB4C0" w:sz="3"/>
          <w:right w:val="single" w:color="AAB4C0" w:sz="3"/>
          <w:insideH w:val="single" w:color="AAB4C0" w:sz="3"/>
          <w:insideV w:val="single" w:color="AAB4C0" w:sz="3"/>
        </w:tblBorders>
      </w:tblPr>
      <w:tblGrid>
        <w:gridCol w:w="1814"/>
        <w:gridCol w:w="2177"/>
        <w:gridCol w:w="1995"/>
        <w:gridCol w:w="1633"/>
        <w:gridCol w:w="1451"/>
      </w:tblGrid>
      <w:tr>
        <w:trPr>
          <w:tblHeader/>
        </w:trPr>
        <w:tc>
          <w:tcPr>
            <w:tcW w:type="dxa" w:w="1814"/>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Projet</w:t>
            </w:r>
          </w:p>
        </w:tc>
        <w:tc>
          <w:tcPr>
            <w:tcW w:type="dxa" w:w="2177"/>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Architecture</w:t>
            </w:r>
          </w:p>
        </w:tc>
        <w:tc>
          <w:tcPr>
            <w:tcW w:type="dxa" w:w="1995"/>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Liaison de contexte</w:t>
            </w:r>
          </w:p>
        </w:tc>
        <w:tc>
          <w:tcPr>
            <w:tcW w:type="dxa" w:w="1633"/>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Anti-rejeu</w:t>
            </w:r>
          </w:p>
        </w:tc>
        <w:tc>
          <w:tcPr>
            <w:tcW w:type="dxa" w:w="1451"/>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Vérif. formelle</w:t>
            </w:r>
          </w:p>
        </w:tc>
      </w:tr>
      <w:tr>
        <w:tc>
          <w:tcPr>
            <w:tcW w:type="dxa" w:w="181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zkLogin (Sui) [11]</w:t>
            </w:r>
          </w:p>
        </w:tc>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Groth16 + OIDC</w:t>
            </w:r>
          </w:p>
        </w:tc>
        <w:tc>
          <w:tcPr>
            <w:tcW w:type="dxa" w:w="1995"/>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Insuffisante (analysée)</w:t>
            </w:r>
          </w:p>
        </w:tc>
        <w:tc>
          <w:tcPr>
            <w:tcW w:type="dxa" w:w="1633"/>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Absent au protocole</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Non</w:t>
            </w:r>
          </w:p>
        </w:tc>
      </w:tr>
      <w:tr>
        <w:tc>
          <w:tcPr>
            <w:tcW w:type="dxa" w:w="181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zk-Login (Aleo, 2024) [10]</w:t>
            </w:r>
          </w:p>
        </w:tc>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zk-SNARK, authentification Web3</w:t>
            </w:r>
          </w:p>
        </w:tc>
        <w:tc>
          <w:tcPr>
            <w:tcW w:type="dxa" w:w="1995"/>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Non spécifiée</w:t>
            </w:r>
          </w:p>
        </w:tc>
        <w:tc>
          <w:tcPr>
            <w:tcW w:type="dxa" w:w="1633"/>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Non spécifié</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Non</w:t>
            </w:r>
          </w:p>
        </w:tc>
      </w:tr>
      <w:tr>
        <w:tc>
          <w:tcPr>
            <w:tcW w:type="dxa" w:w="181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Polygon ID (2023-2025)</w:t>
            </w:r>
          </w:p>
        </w:tc>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zk-STARK + DID</w:t>
            </w:r>
          </w:p>
        </w:tc>
        <w:tc>
          <w:tcPr>
            <w:tcW w:type="dxa" w:w="1995"/>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Partielle (DID)</w:t>
            </w:r>
          </w:p>
        </w:tc>
        <w:tc>
          <w:tcPr>
            <w:tcW w:type="dxa" w:w="1633"/>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Nonce</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Partielle</w:t>
            </w:r>
          </w:p>
        </w:tc>
      </w:tr>
      <w:tr>
        <w:tc>
          <w:tcPr>
            <w:tcW w:type="dxa" w:w="181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ZK-ACE (2026) [12]</w:t>
            </w:r>
          </w:p>
        </w:tc>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Groth16, autorisation PQ</w:t>
            </w:r>
          </w:p>
        </w:tc>
        <w:tc>
          <w:tcPr>
            <w:tcW w:type="dxa" w:w="1995"/>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Domaine + contexte</w:t>
            </w:r>
          </w:p>
        </w:tc>
        <w:tc>
          <w:tcPr>
            <w:tcW w:type="dxa" w:w="1633"/>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Nonce ou nullifieur</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Preuves par réduction</w:t>
            </w:r>
          </w:p>
        </w:tc>
      </w:tr>
      <w:tr>
        <w:tc>
          <w:tcPr>
            <w:tcW w:type="dxa" w:w="181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zkAt (2025) [13]</w:t>
            </w:r>
          </w:p>
        </w:tc>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Groth16, politique privée</w:t>
            </w:r>
          </w:p>
        </w:tc>
        <w:tc>
          <w:tcPr>
            <w:tcW w:type="dxa" w:w="1995"/>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Transaction</w:t>
            </w:r>
          </w:p>
        </w:tc>
        <w:tc>
          <w:tcPr>
            <w:tcW w:type="dxa" w:w="1633"/>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Hors périmètre</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Preuves par réduction</w:t>
            </w:r>
          </w:p>
        </w:tc>
      </w:tr>
      <w:tr>
        <w:tc>
          <w:tcPr>
            <w:tcW w:type="dxa" w:w="1814"/>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ZK-OAuthChain (proposé)</w:t>
            </w:r>
          </w:p>
        </w:tc>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OAuth 2.0 + Groth16 + vérif. formelle</w:t>
            </w:r>
          </w:p>
        </w:tc>
        <w:tc>
          <w:tcPr>
            <w:tcW w:type="dxa" w:w="1995"/>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iss, aud, sub, RP, domaine</w:t>
            </w:r>
          </w:p>
        </w:tc>
        <w:tc>
          <w:tcPr>
            <w:tcW w:type="dxa" w:w="1633"/>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Nullifieur séparé par domaine</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Exécutée (ProB + CHC)</w:t>
            </w:r>
          </w:p>
        </w:tc>
      </w:tr>
    </w:tbl>
    <w:p>
      <w:pPr>
        <w:spacing w:after="220" w:before="40"/>
        <w:jc w:val="both"/>
      </w:pPr>
      <w:r>
        <w:rPr>
          <w:rFonts w:ascii="Cambria" w:cs="Cambria" w:eastAsia="Cambria" w:hAnsi="Cambria"/>
          <w:i/>
          <w:iCs/>
          <w:color w:val="444444"/>
          <w:sz w:val="18"/>
          <w:szCs w:val="18"/>
        </w:rPr>
        <w:t xml:space="preserve">ZK-OAuthChain se distingue par la conjonction de trois propriétés : l'interopérabilité avec le flux d'autorisation OAuth 2.0 standard, une liaison de contexte complète imposée au niveau du protocole, et une vérification formelle non seulement annoncée mais exécutée, avec présentation des résultats obtenus.</w:t>
      </w:r>
    </w:p>
    <w:p>
      <w:r>
        <w:br w:type="page"/>
      </w:r>
    </w:p>
    <w:p>
      <w:pPr>
        <w:pStyle w:val="Heading1"/>
        <w:spacing w:after="140" w:before="360"/>
      </w:pPr>
      <w:r>
        <w:rPr>
          <w:rFonts w:ascii="Cambria" w:cs="Cambria" w:eastAsia="Cambria" w:hAnsi="Cambria"/>
          <w:b/>
          <w:bCs/>
          <w:color w:val="1A1A1A"/>
          <w:sz w:val="28"/>
          <w:szCs w:val="28"/>
        </w:rPr>
        <w:t xml:space="preserve">3. Conception de l'architecture ZK-OAuthChain</w:t>
      </w:r>
    </w:p>
    <w:p>
      <w:pPr>
        <w:pStyle w:val="Heading2"/>
        <w:spacing w:after="140" w:before="240"/>
      </w:pPr>
      <w:r>
        <w:rPr>
          <w:rFonts w:ascii="Cambria" w:cs="Cambria" w:eastAsia="Cambria" w:hAnsi="Cambria"/>
          <w:b/>
          <w:bCs/>
          <w:color w:val="1A1A1A"/>
          <w:sz w:val="24"/>
          <w:szCs w:val="24"/>
        </w:rPr>
        <w:t xml:space="preserve">3.1. Vue d'ensemble</w:t>
      </w:r>
    </w:p>
    <w:p>
      <w:pPr>
        <w:spacing w:after="120" w:before="0" w:line="276"/>
        <w:jc w:val="both"/>
      </w:pPr>
      <w:r>
        <w:rPr>
          <w:rFonts w:ascii="Cambria" w:cs="Cambria" w:eastAsia="Cambria" w:hAnsi="Cambria"/>
          <w:sz w:val="21"/>
          <w:szCs w:val="21"/>
        </w:rPr>
        <w:t xml:space="preserve">ZK-OAuthChain retire au Serveur d'Autorisation son rôle d'émetteur et de validateur de jetons, et le confie à un contrat intelligent d'autorisation déployé sur la blockchain. L'AS traditionnel est conservé pour la seule authentification initiale de l'utilisateur et pour le calcul des engagements cryptographiques. Les jetons OAuth sont représentés par des engagements, prouvés valides via ZKP sans révéler les données associées.</w:t>
      </w:r>
    </w:p>
    <w:p>
      <w:pPr>
        <w:pStyle w:val="Heading2"/>
        <w:spacing w:after="140" w:before="240"/>
      </w:pPr>
      <w:r>
        <w:rPr>
          <w:rFonts w:ascii="Cambria" w:cs="Cambria" w:eastAsia="Cambria" w:hAnsi="Cambria"/>
          <w:b/>
          <w:bCs/>
          <w:color w:val="1A1A1A"/>
          <w:sz w:val="24"/>
          <w:szCs w:val="24"/>
        </w:rPr>
        <w:t xml:space="preserve">3.2. Flux d'autorisation décentralisé</w:t>
      </w:r>
    </w:p>
    <w:p>
      <w:pPr>
        <w:pStyle w:val="ListParagraph"/>
        <w:numPr>
          <w:ilvl w:val="0"/>
          <w:numId w:val="2"/>
        </w:numPr>
        <w:spacing w:after="80" w:line="276"/>
        <w:jc w:val="both"/>
      </w:pPr>
      <w:r>
        <w:rPr>
          <w:rFonts w:ascii="Cambria" w:cs="Cambria" w:eastAsia="Cambria" w:hAnsi="Cambria"/>
          <w:sz w:val="21"/>
          <w:szCs w:val="21"/>
        </w:rPr>
        <w:t xml:space="preserve">Le Serveur de Ressource lie une fois pour toutes son adresse à son identifiant de protocole auprès du contrat.</w:t>
      </w:r>
    </w:p>
    <w:p>
      <w:pPr>
        <w:pStyle w:val="ListParagraph"/>
        <w:numPr>
          <w:ilvl w:val="0"/>
          <w:numId w:val="2"/>
        </w:numPr>
        <w:spacing w:after="80" w:line="276"/>
        <w:jc w:val="both"/>
      </w:pPr>
      <w:r>
        <w:rPr>
          <w:rFonts w:ascii="Cambria" w:cs="Cambria" w:eastAsia="Cambria" w:hAnsi="Cambria"/>
          <w:sz w:val="21"/>
          <w:szCs w:val="21"/>
        </w:rPr>
        <w:t xml:space="preserve">L'utilisateur s'authentifie auprès de l'AS.</w:t>
      </w:r>
    </w:p>
    <w:p>
      <w:pPr>
        <w:pStyle w:val="ListParagraph"/>
        <w:numPr>
          <w:ilvl w:val="0"/>
          <w:numId w:val="2"/>
        </w:numPr>
        <w:spacing w:after="80" w:line="276"/>
        <w:jc w:val="both"/>
      </w:pPr>
      <w:r>
        <w:rPr>
          <w:rFonts w:ascii="Cambria" w:cs="Cambria" w:eastAsia="Cambria" w:hAnsi="Cambria"/>
          <w:sz w:val="21"/>
          <w:szCs w:val="21"/>
        </w:rPr>
        <w:t xml:space="preserve">L'AS émet le jeton, calcule le contexte d'autorisation puis l'engagement, l'insère dans l'arbre de Merkle des émissions et ancre la racine sur la chaîne.</w:t>
      </w:r>
    </w:p>
    <w:p>
      <w:pPr>
        <w:pStyle w:val="ListParagraph"/>
        <w:numPr>
          <w:ilvl w:val="0"/>
          <w:numId w:val="2"/>
        </w:numPr>
        <w:spacing w:after="80" w:line="276"/>
        <w:jc w:val="both"/>
      </w:pPr>
      <w:r>
        <w:rPr>
          <w:rFonts w:ascii="Cambria" w:cs="Cambria" w:eastAsia="Cambria" w:hAnsi="Cambria"/>
          <w:sz w:val="21"/>
          <w:szCs w:val="21"/>
        </w:rPr>
        <w:t xml:space="preserve">Le Serveur de Ressource émet un défi lié à la portée demandée, à un aléa et à une expiration.</w:t>
      </w:r>
    </w:p>
    <w:p>
      <w:pPr>
        <w:pStyle w:val="ListParagraph"/>
        <w:numPr>
          <w:ilvl w:val="0"/>
          <w:numId w:val="2"/>
        </w:numPr>
        <w:spacing w:after="80" w:line="276"/>
        <w:jc w:val="both"/>
      </w:pPr>
      <w:r>
        <w:rPr>
          <w:rFonts w:ascii="Cambria" w:cs="Cambria" w:eastAsia="Cambria" w:hAnsi="Cambria"/>
          <w:sz w:val="21"/>
          <w:szCs w:val="21"/>
        </w:rPr>
        <w:t xml:space="preserve">Le client génère une preuve attestant que son engagement est valide, appartient à la racine ancrée, n'est pas révoqué et correspond au contexte déclaré ; il publie un nullifieur lié au défi et au domaine.</w:t>
      </w:r>
    </w:p>
    <w:p>
      <w:pPr>
        <w:pStyle w:val="ListParagraph"/>
        <w:numPr>
          <w:ilvl w:val="0"/>
          <w:numId w:val="2"/>
        </w:numPr>
        <w:spacing w:after="80" w:line="276"/>
        <w:jc w:val="both"/>
      </w:pPr>
      <w:r>
        <w:rPr>
          <w:rFonts w:ascii="Cambria" w:cs="Cambria" w:eastAsia="Cambria" w:hAnsi="Cambria"/>
          <w:sz w:val="21"/>
          <w:szCs w:val="21"/>
        </w:rPr>
        <w:t xml:space="preserve">Le Serveur de Ressource soumet la preuve au contrat, qui vérifie le contexte puis la preuve, et consomme le nullifieur.</w:t>
      </w:r>
    </w:p>
    <w:p>
      <w:pPr>
        <w:pStyle w:val="ListParagraph"/>
        <w:numPr>
          <w:ilvl w:val="0"/>
          <w:numId w:val="2"/>
        </w:numPr>
        <w:spacing w:after="80" w:line="276"/>
        <w:jc w:val="both"/>
      </w:pPr>
      <w:r>
        <w:rPr>
          <w:rFonts w:ascii="Cambria" w:cs="Cambria" w:eastAsia="Cambria" w:hAnsi="Cambria"/>
          <w:sz w:val="21"/>
          <w:szCs w:val="21"/>
        </w:rPr>
        <w:t xml:space="preserve">L'accès est accordé si et seulement si la preuve est valide, le contexte conforme et le nullifieur inédit.</w:t>
      </w:r>
    </w:p>
    <w:p>
      <w:pPr>
        <w:pStyle w:val="Heading2"/>
        <w:spacing w:after="140" w:before="240"/>
      </w:pPr>
      <w:r>
        <w:rPr>
          <w:rFonts w:ascii="Cambria" w:cs="Cambria" w:eastAsia="Cambria" w:hAnsi="Cambria"/>
          <w:b/>
          <w:bCs/>
          <w:color w:val="1A1A1A"/>
          <w:sz w:val="24"/>
          <w:szCs w:val="24"/>
        </w:rPr>
        <w:t xml:space="preserve">3.3. Modèle cryptographique du circuit</w:t>
      </w:r>
    </w:p>
    <w:p>
      <w:pPr>
        <w:spacing w:after="120" w:before="0" w:line="276"/>
        <w:jc w:val="both"/>
      </w:pPr>
      <w:r>
        <w:rPr>
          <w:rFonts w:ascii="Cambria" w:cs="Cambria" w:eastAsia="Cambria" w:hAnsi="Cambria"/>
          <w:sz w:val="21"/>
          <w:szCs w:val="21"/>
        </w:rPr>
        <w:t xml:space="preserve">Le circuit établit cinq contraintes sans jamais divulguer la valeur du jeton, celle du sujet, ni celle des métadonnées. Notons Poseidon le hachage en circuit, iss l'identifiant de l'émetteur, aud celui du client OAuth destinataire, sub le sujet, rs l'identifiant du Serveur de Ressource visé et dom le séparateur de domaine.</w:t>
      </w:r>
    </w:p>
    <w:p>
      <w:pPr>
        <w:spacing w:after="80" w:before="200"/>
        <w:jc w:val="left"/>
      </w:pPr>
      <w:r>
        <w:rPr>
          <w:rFonts w:ascii="Cambria" w:cs="Cambria" w:eastAsia="Cambria" w:hAnsi="Cambria"/>
          <w:b/>
          <w:bCs/>
          <w:sz w:val="19"/>
          <w:szCs w:val="19"/>
        </w:rPr>
        <w:t xml:space="preserve">Contraintes du circuit</w:t>
      </w:r>
    </w:p>
    <w:p>
      <w:pPr>
        <w:spacing w:after="0" w:before="60"/>
        <w:ind w:left="340"/>
      </w:pPr>
      <w:r>
        <w:rPr>
          <w:rFonts w:ascii="Consolas" w:cs="Consolas" w:eastAsia="Consolas" w:hAnsi="Consolas"/>
          <w:sz w:val="17"/>
          <w:szCs w:val="17"/>
        </w:rPr>
        <w:t xml:space="preserve">(C1) Liaison de contexte    ctx = Poseidon(iss, aud, sub, rs, dom)</w:t>
      </w:r>
    </w:p>
    <w:p>
      <w:pPr>
        <w:spacing w:after="0" w:before="0"/>
        <w:ind w:left="340"/>
      </w:pPr>
      <w:r>
        <w:rPr>
          <w:rFonts w:ascii="Consolas" w:cs="Consolas" w:eastAsia="Consolas" w:hAnsi="Consolas"/>
          <w:sz w:val="17"/>
          <w:szCs w:val="17"/>
        </w:rPr>
        <w:t xml:space="preserve">(C2) Hachage d'engagement   h   = Poseidon(token, ctx, meta)</w:t>
      </w:r>
    </w:p>
    <w:p>
      <w:pPr>
        <w:spacing w:after="0" w:before="0"/>
        <w:ind w:left="340"/>
      </w:pPr>
      <w:r>
        <w:rPr>
          <w:rFonts w:ascii="Consolas" w:cs="Consolas" w:eastAsia="Consolas" w:hAnsi="Consolas"/>
          <w:sz w:val="17"/>
          <w:szCs w:val="17"/>
        </w:rPr>
        <w:t xml:space="preserve">(C3) Appartenance Merkle    MerkleVerify(h, root) = vrai</w:t>
      </w:r>
    </w:p>
    <w:p>
      <w:pPr>
        <w:spacing w:after="0" w:before="0"/>
        <w:ind w:left="340"/>
      </w:pPr>
      <w:r>
        <w:rPr>
          <w:rFonts w:ascii="Consolas" w:cs="Consolas" w:eastAsia="Consolas" w:hAnsi="Consolas"/>
          <w:sz w:val="17"/>
          <w:szCs w:val="17"/>
        </w:rPr>
        <w:t xml:space="preserve">(C4) Non-révocation         h ∉ SMT(revRoot)          (preuve d'exclusion)</w:t>
      </w:r>
    </w:p>
    <w:p>
      <w:pPr>
        <w:spacing w:after="0" w:before="0"/>
        <w:ind w:left="340"/>
      </w:pPr>
      <w:r>
        <w:rPr>
          <w:rFonts w:ascii="Consolas" w:cs="Consolas" w:eastAsia="Consolas" w:hAnsi="Consolas"/>
          <w:sz w:val="17"/>
          <w:szCs w:val="17"/>
        </w:rPr>
        <w:t xml:space="preserve">(C5) Anti-rejeu + domaine   nullifier = Poseidon(h, challenge, dom)</w:t>
      </w:r>
    </w:p>
    <w:p>
      <w:pPr>
        <w:spacing w:after="0" w:before="0"/>
        <w:ind w:left="340"/>
      </w:pPr>
      <w:r>
        <w:rPr>
          <w:rFonts w:ascii="Consolas" w:cs="Consolas" w:eastAsia="Consolas" w:hAnsi="Consolas"/>
          <w:sz w:val="17"/>
          <w:szCs w:val="17"/>
        </w:rPr>
        <w:t xml:space="preserve"/>
      </w:r>
    </w:p>
    <w:p>
      <w:pPr>
        <w:spacing w:after="0" w:before="0"/>
        <w:ind w:left="340"/>
      </w:pPr>
      <w:r>
        <w:rPr>
          <w:rFonts w:ascii="Consolas" w:cs="Consolas" w:eastAsia="Consolas" w:hAnsi="Consolas"/>
          <w:sz w:val="17"/>
          <w:szCs w:val="17"/>
        </w:rPr>
        <w:t xml:space="preserve">Publics : nullifier, root, revRoot, iss, aud, rs, dom, challenge</w:t>
      </w:r>
    </w:p>
    <w:p>
      <w:pPr>
        <w:spacing w:after="160" w:before="0"/>
        <w:ind w:left="340"/>
      </w:pPr>
      <w:r>
        <w:rPr>
          <w:rFonts w:ascii="Consolas" w:cs="Consolas" w:eastAsia="Consolas" w:hAnsi="Consolas"/>
          <w:sz w:val="17"/>
          <w:szCs w:val="17"/>
        </w:rPr>
        <w:t xml:space="preserve">Privés  : token, sub, meta, témoin Merkle, témoin d'exclusion</w:t>
      </w:r>
    </w:p>
    <w:p>
      <w:pPr>
        <w:spacing w:after="120" w:before="0" w:line="276"/>
        <w:jc w:val="both"/>
      </w:pPr>
      <w:r>
        <w:rPr>
          <w:rFonts w:ascii="Cambria" w:cs="Cambria" w:eastAsia="Cambria" w:hAnsi="Cambria"/>
          <w:b/>
          <w:bCs/>
          <w:sz w:val="21"/>
          <w:szCs w:val="21"/>
        </w:rPr>
        <w:t xml:space="preserve">C1 répond directement à la vulnérabilité centrale de zkLogin. </w:t>
      </w:r>
      <w:r>
        <w:rPr>
          <w:rFonts w:ascii="Cambria" w:cs="Cambria" w:eastAsia="Cambria" w:hAnsi="Cambria"/>
          <w:sz w:val="21"/>
          <w:szCs w:val="21"/>
        </w:rPr>
        <w:t xml:space="preserve">Le quadruplet (iss, aud, sub, rs) et le domaine sont scellés dans l'engagement au moment de l'émission. Quatre de ces cinq composantes sont publiques, donc opposables au vérificateur : une preuve ne peut être présentée qu'au Serveur de Ressource et pour le client pour lesquels le jeton a été émis. Le sujet, lui, demeure privé — il est lié sans être divulgué — et il est dérivé dans l'espace de noms de son émetteur, conformément à la recommandation de Celi et al.</w:t>
      </w:r>
    </w:p>
    <w:p>
      <w:pPr>
        <w:spacing w:after="120" w:before="0" w:line="276"/>
        <w:jc w:val="both"/>
      </w:pPr>
      <w:r>
        <w:rPr>
          <w:rFonts w:ascii="Cambria" w:cs="Cambria" w:eastAsia="Cambria" w:hAnsi="Cambria"/>
          <w:sz w:val="21"/>
          <w:szCs w:val="21"/>
        </w:rPr>
        <w:t xml:space="preserve">C3 et C4 fondent la validité de l'autorisation. La non-révocation est établie par une preuve d'exclusion sur un Sparse Merkle Tree, et non par un parcours de liste : son coût est logarithmique en la profondeur de l'arbre et indépendant du nombre de révocations.</w:t>
      </w:r>
    </w:p>
    <w:p>
      <w:pPr>
        <w:spacing w:after="120" w:before="0" w:line="276"/>
        <w:jc w:val="both"/>
      </w:pPr>
      <w:r>
        <w:rPr>
          <w:rFonts w:ascii="Cambria" w:cs="Cambria" w:eastAsia="Cambria" w:hAnsi="Cambria"/>
          <w:sz w:val="21"/>
          <w:szCs w:val="21"/>
        </w:rPr>
        <w:t xml:space="preserve">C5 assure la fraîcheur et la séparation de domaine. Le nullifieur ne dépend que de l'engagement, du défi et du domaine ; le contrat le consomme une fois pour toutes. Deux autorisations distinctes ne sont pas corrélables, l'engagement n'apparaissant jamais en clair. La présence du domaine dans le nullifieur — comme dans C1 — interdit de rejouer sur un déploiement une preuve produite pour un autre, exigence que ZK-ACE formule comme contrainte de séparation de domaine.</w:t>
      </w:r>
    </w:p>
    <w:p>
      <w:pPr>
        <w:pStyle w:val="Heading2"/>
        <w:spacing w:after="140" w:before="240"/>
      </w:pPr>
      <w:r>
        <w:rPr>
          <w:rFonts w:ascii="Cambria" w:cs="Cambria" w:eastAsia="Cambria" w:hAnsi="Cambria"/>
          <w:b/>
          <w:bCs/>
          <w:color w:val="1A1A1A"/>
          <w:sz w:val="24"/>
          <w:szCs w:val="24"/>
        </w:rPr>
        <w:t xml:space="preserve">3.4. Spécification algorithmique du contrat d'autorisation</w:t>
      </w:r>
    </w:p>
    <w:p>
      <w:pPr>
        <w:spacing w:after="120" w:before="0" w:line="276"/>
        <w:jc w:val="both"/>
      </w:pPr>
      <w:r>
        <w:rPr>
          <w:rFonts w:ascii="Cambria" w:cs="Cambria" w:eastAsia="Cambria" w:hAnsi="Cambria"/>
          <w:sz w:val="21"/>
          <w:szCs w:val="21"/>
        </w:rPr>
        <w:t xml:space="preserve">Nous décrivons le contrat au niveau algorithmique plutôt que par son code source : la spécification ci-dessous est indépendante du langage d'implémentation et constitue directement l'objet de la vérification formelle de la Section 5.</w:t>
      </w:r>
    </w:p>
    <w:p>
      <w:pPr>
        <w:spacing w:after="80" w:before="200"/>
        <w:jc w:val="left"/>
      </w:pPr>
      <w:r>
        <w:rPr>
          <w:rFonts w:ascii="Cambria" w:cs="Cambria" w:eastAsia="Cambria" w:hAnsi="Cambria"/>
          <w:b/>
          <w:bCs/>
          <w:sz w:val="19"/>
          <w:szCs w:val="19"/>
        </w:rPr>
        <w:t xml:space="preserve">Algorithme 1 — Contrat d'autorisation ZK-OAuthChain (spécification)</w:t>
      </w:r>
    </w:p>
    <w:p>
      <w:pPr>
        <w:spacing w:after="0" w:before="60"/>
        <w:ind w:left="340"/>
      </w:pPr>
      <w:r>
        <w:rPr>
          <w:rFonts w:ascii="Consolas" w:cs="Consolas" w:eastAsia="Consolas" w:hAnsi="Consolas"/>
          <w:sz w:val="17"/>
          <w:szCs w:val="17"/>
        </w:rPr>
        <w:t xml:space="preserve">ÉTAT   racineÉmission, racineRévocation, époque, émetteur, domaine</w:t>
      </w:r>
    </w:p>
    <w:p>
      <w:pPr>
        <w:spacing w:after="0" w:before="0"/>
        <w:ind w:left="340"/>
      </w:pPr>
      <w:r>
        <w:rPr>
          <w:rFonts w:ascii="Consolas" w:cs="Consolas" w:eastAsia="Consolas" w:hAnsi="Consolas"/>
          <w:sz w:val="17"/>
          <w:szCs w:val="17"/>
        </w:rPr>
        <w:t xml:space="preserve">       engagementDe : Utilisateur -&gt; Engagement      (fonction partielle)</w:t>
      </w:r>
    </w:p>
    <w:p>
      <w:pPr>
        <w:spacing w:after="0" w:before="0"/>
        <w:ind w:left="340"/>
      </w:pPr>
      <w:r>
        <w:rPr>
          <w:rFonts w:ascii="Consolas" w:cs="Consolas" w:eastAsia="Consolas" w:hAnsi="Consolas"/>
          <w:sz w:val="17"/>
          <w:szCs w:val="17"/>
        </w:rPr>
        <w:t xml:space="preserve">       détenteurDe  : Engagement  -&gt; Utilisateur     (réciproque)</w:t>
      </w:r>
    </w:p>
    <w:p>
      <w:pPr>
        <w:spacing w:after="0" w:before="0"/>
        <w:ind w:left="340"/>
      </w:pPr>
      <w:r>
        <w:rPr>
          <w:rFonts w:ascii="Consolas" w:cs="Consolas" w:eastAsia="Consolas" w:hAnsi="Consolas"/>
          <w:sz w:val="17"/>
          <w:szCs w:val="17"/>
        </w:rPr>
        <w:t xml:space="preserve">       révoqué      : ensemble d'Engagements</w:t>
      </w:r>
    </w:p>
    <w:p>
      <w:pPr>
        <w:spacing w:after="0" w:before="0"/>
        <w:ind w:left="340"/>
      </w:pPr>
      <w:r>
        <w:rPr>
          <w:rFonts w:ascii="Consolas" w:cs="Consolas" w:eastAsia="Consolas" w:hAnsi="Consolas"/>
          <w:sz w:val="17"/>
          <w:szCs w:val="17"/>
        </w:rPr>
        <w:t xml:space="preserve">       idDuRP       : ServeurRessource -&gt; IdRP       (fonction partielle)</w:t>
      </w:r>
    </w:p>
    <w:p>
      <w:pPr>
        <w:spacing w:after="0" w:before="0"/>
        <w:ind w:left="340"/>
      </w:pPr>
      <w:r>
        <w:rPr>
          <w:rFonts w:ascii="Consolas" w:cs="Consolas" w:eastAsia="Consolas" w:hAnsi="Consolas"/>
          <w:sz w:val="17"/>
          <w:szCs w:val="17"/>
        </w:rPr>
        <w:t xml:space="preserve">       rpDeLId      : IdRP -&gt; ServeurRessource       (réciproque)</w:t>
      </w:r>
    </w:p>
    <w:p>
      <w:pPr>
        <w:spacing w:after="0" w:before="0"/>
        <w:ind w:left="340"/>
      </w:pPr>
      <w:r>
        <w:rPr>
          <w:rFonts w:ascii="Consolas" w:cs="Consolas" w:eastAsia="Consolas" w:hAnsi="Consolas"/>
          <w:sz w:val="17"/>
          <w:szCs w:val="17"/>
        </w:rPr>
        <w:t xml:space="preserve">       consommé     : ensemble de Nullifieurs</w:t>
      </w:r>
    </w:p>
    <w:p>
      <w:pPr>
        <w:spacing w:after="0" w:before="0"/>
        <w:ind w:left="340"/>
      </w:pPr>
      <w:r>
        <w:rPr>
          <w:rFonts w:ascii="Consolas" w:cs="Consolas" w:eastAsia="Consolas" w:hAnsi="Consolas"/>
          <w:sz w:val="17"/>
          <w:szCs w:val="17"/>
        </w:rPr>
        <w:t xml:space="preserve">       octroyéÀ     : Nullifieur  -&gt; Époque</w:t>
      </w:r>
    </w:p>
    <w:p>
      <w:pPr>
        <w:spacing w:after="0" w:before="0"/>
        <w:ind w:left="340"/>
      </w:pPr>
      <w:r>
        <w:rPr>
          <w:rFonts w:ascii="Consolas" w:cs="Consolas" w:eastAsia="Consolas" w:hAnsi="Consolas"/>
          <w:sz w:val="17"/>
          <w:szCs w:val="17"/>
        </w:rPr>
        <w:t xml:space="preserve">       octroyéAuRP  : Nullifieur  -&gt; IdRP</w:t>
      </w:r>
    </w:p>
    <w:p>
      <w:pPr>
        <w:spacing w:after="0" w:before="0"/>
        <w:ind w:left="340"/>
      </w:pPr>
      <w:r>
        <w:rPr>
          <w:rFonts w:ascii="Consolas" w:cs="Consolas" w:eastAsia="Consolas" w:hAnsi="Consolas"/>
          <w:sz w:val="17"/>
          <w:szCs w:val="17"/>
        </w:rPr>
        <w:t xml:space="preserve"/>
      </w:r>
    </w:p>
    <w:p>
      <w:pPr>
        <w:spacing w:after="0" w:before="0"/>
        <w:ind w:left="340"/>
      </w:pPr>
      <w:r>
        <w:rPr>
          <w:rFonts w:ascii="Consolas" w:cs="Consolas" w:eastAsia="Consolas" w:hAnsi="Consolas"/>
          <w:sz w:val="17"/>
          <w:szCs w:val="17"/>
        </w:rPr>
        <w:t xml:space="preserve">enregistrerRP(r, i)</w:t>
      </w:r>
    </w:p>
    <w:p>
      <w:pPr>
        <w:spacing w:after="0" w:before="0"/>
        <w:ind w:left="340"/>
      </w:pPr>
      <w:r>
        <w:rPr>
          <w:rFonts w:ascii="Consolas" w:cs="Consolas" w:eastAsia="Consolas" w:hAnsi="Consolas"/>
          <w:sz w:val="17"/>
          <w:szCs w:val="17"/>
        </w:rPr>
        <w:t xml:space="preserve">   exiger  i != 0  et  r ∉ dom(idDuRP)  et  i ∉ dom(rpDeLId)</w:t>
      </w:r>
    </w:p>
    <w:p>
      <w:pPr>
        <w:spacing w:after="0" w:before="0"/>
        <w:ind w:left="340"/>
      </w:pPr>
      <w:r>
        <w:rPr>
          <w:rFonts w:ascii="Consolas" w:cs="Consolas" w:eastAsia="Consolas" w:hAnsi="Consolas"/>
          <w:sz w:val="17"/>
          <w:szCs w:val="17"/>
        </w:rPr>
        <w:t xml:space="preserve">   idDuRP(r) &lt;- i ; rpDeLId(i) &lt;- r</w:t>
      </w:r>
    </w:p>
    <w:p>
      <w:pPr>
        <w:spacing w:after="0" w:before="0"/>
        <w:ind w:left="340"/>
      </w:pPr>
      <w:r>
        <w:rPr>
          <w:rFonts w:ascii="Consolas" w:cs="Consolas" w:eastAsia="Consolas" w:hAnsi="Consolas"/>
          <w:sz w:val="17"/>
          <w:szCs w:val="17"/>
        </w:rPr>
        <w:t xml:space="preserve"/>
      </w:r>
    </w:p>
    <w:p>
      <w:pPr>
        <w:spacing w:after="0" w:before="0"/>
        <w:ind w:left="340"/>
      </w:pPr>
      <w:r>
        <w:rPr>
          <w:rFonts w:ascii="Consolas" w:cs="Consolas" w:eastAsia="Consolas" w:hAnsi="Consolas"/>
          <w:sz w:val="17"/>
          <w:szCs w:val="17"/>
        </w:rPr>
        <w:t xml:space="preserve">ancrerRacines(r, rr)                            [réservé à l'AS]</w:t>
      </w:r>
    </w:p>
    <w:p>
      <w:pPr>
        <w:spacing w:after="0" w:before="0"/>
        <w:ind w:left="340"/>
      </w:pPr>
      <w:r>
        <w:rPr>
          <w:rFonts w:ascii="Consolas" w:cs="Consolas" w:eastAsia="Consolas" w:hAnsi="Consolas"/>
          <w:sz w:val="17"/>
          <w:szCs w:val="17"/>
        </w:rPr>
        <w:t xml:space="preserve">   racineÉmission &lt;- r ; racineRévocation &lt;- rr ; époque &lt;- époque + 1</w:t>
      </w:r>
    </w:p>
    <w:p>
      <w:pPr>
        <w:spacing w:after="0" w:before="0"/>
        <w:ind w:left="340"/>
      </w:pPr>
      <w:r>
        <w:rPr>
          <w:rFonts w:ascii="Consolas" w:cs="Consolas" w:eastAsia="Consolas" w:hAnsi="Consolas"/>
          <w:sz w:val="17"/>
          <w:szCs w:val="17"/>
        </w:rPr>
        <w:t xml:space="preserve"/>
      </w:r>
    </w:p>
    <w:p>
      <w:pPr>
        <w:spacing w:after="0" w:before="0"/>
        <w:ind w:left="340"/>
      </w:pPr>
      <w:r>
        <w:rPr>
          <w:rFonts w:ascii="Consolas" w:cs="Consolas" w:eastAsia="Consolas" w:hAnsi="Consolas"/>
          <w:sz w:val="17"/>
          <w:szCs w:val="17"/>
        </w:rPr>
        <w:t xml:space="preserve">enregistrer(u, c)</w:t>
      </w:r>
    </w:p>
    <w:p>
      <w:pPr>
        <w:spacing w:after="0" w:before="0"/>
        <w:ind w:left="340"/>
      </w:pPr>
      <w:r>
        <w:rPr>
          <w:rFonts w:ascii="Consolas" w:cs="Consolas" w:eastAsia="Consolas" w:hAnsi="Consolas"/>
          <w:sz w:val="17"/>
          <w:szCs w:val="17"/>
        </w:rPr>
        <w:t xml:space="preserve">   exiger  c != 0  et  c ∉ révoqué  et  c ∉ dom(détenteurDe)</w:t>
      </w:r>
    </w:p>
    <w:p>
      <w:pPr>
        <w:spacing w:after="0" w:before="0"/>
        <w:ind w:left="340"/>
      </w:pPr>
      <w:r>
        <w:rPr>
          <w:rFonts w:ascii="Consolas" w:cs="Consolas" w:eastAsia="Consolas" w:hAnsi="Consolas"/>
          <w:sz w:val="17"/>
          <w:szCs w:val="17"/>
        </w:rPr>
        <w:t xml:space="preserve">   exiger  u ∉ dom(engagementDe)                 [pas de rotation implicite]</w:t>
      </w:r>
    </w:p>
    <w:p>
      <w:pPr>
        <w:spacing w:after="0" w:before="0"/>
        <w:ind w:left="340"/>
      </w:pPr>
      <w:r>
        <w:rPr>
          <w:rFonts w:ascii="Consolas" w:cs="Consolas" w:eastAsia="Consolas" w:hAnsi="Consolas"/>
          <w:sz w:val="17"/>
          <w:szCs w:val="17"/>
        </w:rPr>
        <w:t xml:space="preserve">   engagementDe(u) &lt;- c ; détenteurDe(c) &lt;- u</w:t>
      </w:r>
    </w:p>
    <w:p>
      <w:pPr>
        <w:spacing w:after="0" w:before="0"/>
        <w:ind w:left="340"/>
      </w:pPr>
      <w:r>
        <w:rPr>
          <w:rFonts w:ascii="Consolas" w:cs="Consolas" w:eastAsia="Consolas" w:hAnsi="Consolas"/>
          <w:sz w:val="17"/>
          <w:szCs w:val="17"/>
        </w:rPr>
        <w:t xml:space="preserve"/>
      </w:r>
    </w:p>
    <w:p>
      <w:pPr>
        <w:spacing w:after="0" w:before="0"/>
        <w:ind w:left="340"/>
      </w:pPr>
      <w:r>
        <w:rPr>
          <w:rFonts w:ascii="Consolas" w:cs="Consolas" w:eastAsia="Consolas" w:hAnsi="Consolas"/>
          <w:sz w:val="17"/>
          <w:szCs w:val="17"/>
        </w:rPr>
        <w:t xml:space="preserve">libérer(u)                                      [rotation volontaire]</w:t>
      </w:r>
    </w:p>
    <w:p>
      <w:pPr>
        <w:spacing w:after="0" w:before="0"/>
        <w:ind w:left="340"/>
      </w:pPr>
      <w:r>
        <w:rPr>
          <w:rFonts w:ascii="Consolas" w:cs="Consolas" w:eastAsia="Consolas" w:hAnsi="Consolas"/>
          <w:sz w:val="17"/>
          <w:szCs w:val="17"/>
        </w:rPr>
        <w:t xml:space="preserve">   exiger  u ∈ dom(engagementDe)</w:t>
      </w:r>
    </w:p>
    <w:p>
      <w:pPr>
        <w:spacing w:after="0" w:before="0"/>
        <w:ind w:left="340"/>
      </w:pPr>
      <w:r>
        <w:rPr>
          <w:rFonts w:ascii="Consolas" w:cs="Consolas" w:eastAsia="Consolas" w:hAnsi="Consolas"/>
          <w:sz w:val="17"/>
          <w:szCs w:val="17"/>
        </w:rPr>
        <w:t xml:space="preserve">   retirer u de engagementDe ; retirer engagementDe(u) de détenteurDe</w:t>
      </w:r>
    </w:p>
    <w:p>
      <w:pPr>
        <w:spacing w:after="0" w:before="0"/>
        <w:ind w:left="340"/>
      </w:pPr>
      <w:r>
        <w:rPr>
          <w:rFonts w:ascii="Consolas" w:cs="Consolas" w:eastAsia="Consolas" w:hAnsi="Consolas"/>
          <w:sz w:val="17"/>
          <w:szCs w:val="17"/>
        </w:rPr>
        <w:t xml:space="preserve"/>
      </w:r>
    </w:p>
    <w:p>
      <w:pPr>
        <w:spacing w:after="0" w:before="0"/>
        <w:ind w:left="340"/>
      </w:pPr>
      <w:r>
        <w:rPr>
          <w:rFonts w:ascii="Consolas" w:cs="Consolas" w:eastAsia="Consolas" w:hAnsi="Consolas"/>
          <w:sz w:val="17"/>
          <w:szCs w:val="17"/>
        </w:rPr>
        <w:t xml:space="preserve">révoquer(u)                                     [réservé à l'AS]</w:t>
      </w:r>
    </w:p>
    <w:p>
      <w:pPr>
        <w:spacing w:after="0" w:before="0"/>
        <w:ind w:left="340"/>
      </w:pPr>
      <w:r>
        <w:rPr>
          <w:rFonts w:ascii="Consolas" w:cs="Consolas" w:eastAsia="Consolas" w:hAnsi="Consolas"/>
          <w:sz w:val="17"/>
          <w:szCs w:val="17"/>
        </w:rPr>
        <w:t xml:space="preserve">   exiger  u ∈ dom(engagementDe)  ;  c &lt;- engagementDe(u)</w:t>
      </w:r>
    </w:p>
    <w:p>
      <w:pPr>
        <w:spacing w:after="0" w:before="0"/>
        <w:ind w:left="340"/>
      </w:pPr>
      <w:r>
        <w:rPr>
          <w:rFonts w:ascii="Consolas" w:cs="Consolas" w:eastAsia="Consolas" w:hAnsi="Consolas"/>
          <w:sz w:val="17"/>
          <w:szCs w:val="17"/>
        </w:rPr>
        <w:t xml:space="preserve">   révoqué &lt;- révoqué ∪ {c}</w:t>
      </w:r>
    </w:p>
    <w:p>
      <w:pPr>
        <w:spacing w:after="0" w:before="0"/>
        <w:ind w:left="340"/>
      </w:pPr>
      <w:r>
        <w:rPr>
          <w:rFonts w:ascii="Consolas" w:cs="Consolas" w:eastAsia="Consolas" w:hAnsi="Consolas"/>
          <w:sz w:val="17"/>
          <w:szCs w:val="17"/>
        </w:rPr>
        <w:t xml:space="preserve">   retirer u de engagementDe ; retirer c de détenteurDe</w:t>
      </w:r>
    </w:p>
    <w:p>
      <w:pPr>
        <w:spacing w:after="0" w:before="0"/>
        <w:ind w:left="340"/>
      </w:pPr>
      <w:r>
        <w:rPr>
          <w:rFonts w:ascii="Consolas" w:cs="Consolas" w:eastAsia="Consolas" w:hAnsi="Consolas"/>
          <w:sz w:val="17"/>
          <w:szCs w:val="17"/>
        </w:rPr>
        <w:t xml:space="preserve"/>
      </w:r>
    </w:p>
    <w:p>
      <w:pPr>
        <w:spacing w:after="0" w:before="0"/>
        <w:ind w:left="340"/>
      </w:pPr>
      <w:r>
        <w:rPr>
          <w:rFonts w:ascii="Consolas" w:cs="Consolas" w:eastAsia="Consolas" w:hAnsi="Consolas"/>
          <w:sz w:val="17"/>
          <w:szCs w:val="17"/>
        </w:rPr>
        <w:t xml:space="preserve">autoriser(π, (nullifieur, r, rr, iss, aud, rp, dom, défi))   [appelé par le RP]</w:t>
      </w:r>
    </w:p>
    <w:p>
      <w:pPr>
        <w:spacing w:after="0" w:before="0"/>
        <w:ind w:left="340"/>
      </w:pPr>
      <w:r>
        <w:rPr>
          <w:rFonts w:ascii="Consolas" w:cs="Consolas" w:eastAsia="Consolas" w:hAnsi="Consolas"/>
          <w:sz w:val="17"/>
          <w:szCs w:val="17"/>
        </w:rPr>
        <w:t xml:space="preserve">   exiger  époque != 0                           [racines déjà ancrées]</w:t>
      </w:r>
    </w:p>
    <w:p>
      <w:pPr>
        <w:spacing w:after="0" w:before="0"/>
        <w:ind w:left="340"/>
      </w:pPr>
      <w:r>
        <w:rPr>
          <w:rFonts w:ascii="Consolas" w:cs="Consolas" w:eastAsia="Consolas" w:hAnsi="Consolas"/>
          <w:sz w:val="17"/>
          <w:szCs w:val="17"/>
        </w:rPr>
        <w:t xml:space="preserve">   exiger  r = racineÉmission  et  rr = racineRévocation      [fraîcheur]</w:t>
      </w:r>
    </w:p>
    <w:p>
      <w:pPr>
        <w:spacing w:after="0" w:before="0"/>
        <w:ind w:left="340"/>
      </w:pPr>
      <w:r>
        <w:rPr>
          <w:rFonts w:ascii="Consolas" w:cs="Consolas" w:eastAsia="Consolas" w:hAnsi="Consolas"/>
          <w:sz w:val="17"/>
          <w:szCs w:val="17"/>
        </w:rPr>
        <w:t xml:space="preserve">   exiger  iss = émetteur                        [politique d'émetteur]</w:t>
      </w:r>
    </w:p>
    <w:p>
      <w:pPr>
        <w:spacing w:after="0" w:before="0"/>
        <w:ind w:left="340"/>
      </w:pPr>
      <w:r>
        <w:rPr>
          <w:rFonts w:ascii="Consolas" w:cs="Consolas" w:eastAsia="Consolas" w:hAnsi="Consolas"/>
          <w:sz w:val="17"/>
          <w:szCs w:val="17"/>
        </w:rPr>
        <w:t xml:space="preserve">   exiger  dom = domaine                         [séparation de domaine]</w:t>
      </w:r>
    </w:p>
    <w:p>
      <w:pPr>
        <w:spacing w:after="0" w:before="0"/>
        <w:ind w:left="340"/>
      </w:pPr>
      <w:r>
        <w:rPr>
          <w:rFonts w:ascii="Consolas" w:cs="Consolas" w:eastAsia="Consolas" w:hAnsi="Consolas"/>
          <w:sz w:val="17"/>
          <w:szCs w:val="17"/>
        </w:rPr>
        <w:t xml:space="preserve">   i &lt;- idDuRP(appelant) ; exiger i != 0 et rp = i            [liaison au RP]</w:t>
      </w:r>
    </w:p>
    <w:p>
      <w:pPr>
        <w:spacing w:after="0" w:before="0"/>
        <w:ind w:left="340"/>
      </w:pPr>
      <w:r>
        <w:rPr>
          <w:rFonts w:ascii="Consolas" w:cs="Consolas" w:eastAsia="Consolas" w:hAnsi="Consolas"/>
          <w:sz w:val="17"/>
          <w:szCs w:val="17"/>
        </w:rPr>
        <w:t xml:space="preserve">   exiger  nullifieur ∉ consommé                              [anti-rejeu]</w:t>
      </w:r>
    </w:p>
    <w:p>
      <w:pPr>
        <w:spacing w:after="0" w:before="0"/>
        <w:ind w:left="340"/>
      </w:pPr>
      <w:r>
        <w:rPr>
          <w:rFonts w:ascii="Consolas" w:cs="Consolas" w:eastAsia="Consolas" w:hAnsi="Consolas"/>
          <w:sz w:val="17"/>
          <w:szCs w:val="17"/>
        </w:rPr>
        <w:t xml:space="preserve">   exiger  Vérifier(π, signaux publics)                       [validité ZK]</w:t>
      </w:r>
    </w:p>
    <w:p>
      <w:pPr>
        <w:spacing w:after="0" w:before="0"/>
        <w:ind w:left="340"/>
      </w:pPr>
      <w:r>
        <w:rPr>
          <w:rFonts w:ascii="Consolas" w:cs="Consolas" w:eastAsia="Consolas" w:hAnsi="Consolas"/>
          <w:sz w:val="17"/>
          <w:szCs w:val="17"/>
        </w:rPr>
        <w:t xml:space="preserve">   consommé &lt;- consommé ∪ {nullifieur}</w:t>
      </w:r>
    </w:p>
    <w:p>
      <w:pPr>
        <w:spacing w:after="160" w:before="0"/>
        <w:ind w:left="340"/>
      </w:pPr>
      <w:r>
        <w:rPr>
          <w:rFonts w:ascii="Consolas" w:cs="Consolas" w:eastAsia="Consolas" w:hAnsi="Consolas"/>
          <w:sz w:val="17"/>
          <w:szCs w:val="17"/>
        </w:rPr>
        <w:t xml:space="preserve">   octroyéÀ(nullifieur) &lt;- époque ; octroyéAuRP(nullifieur) &lt;- i</w:t>
      </w:r>
    </w:p>
    <w:p>
      <w:pPr>
        <w:spacing w:after="220" w:before="40"/>
        <w:jc w:val="both"/>
      </w:pPr>
      <w:r>
        <w:rPr>
          <w:rFonts w:ascii="Cambria" w:cs="Cambria" w:eastAsia="Cambria" w:hAnsi="Cambria"/>
          <w:i/>
          <w:iCs/>
          <w:color w:val="444444"/>
          <w:sz w:val="18"/>
          <w:szCs w:val="18"/>
        </w:rPr>
        <w:t xml:space="preserve">La séparation entre enregistrer et libérer, et le maintien des réciproques détenteurDe et rpDeLId, ne sont pas cosmétiques : ils sont imposés par les résultats de la Section 5. L'identifiant consigné est celui enregistré pour l'appelant, et non celui revendiqué par la preuve — cette dissymétrie est ce qui rend la liaison opposable.</w:t>
      </w:r>
    </w:p>
    <w:p>
      <w:r>
        <w:br w:type="page"/>
      </w:r>
    </w:p>
    <w:p>
      <w:pPr>
        <w:pStyle w:val="Heading1"/>
        <w:spacing w:after="140" w:before="360"/>
      </w:pPr>
      <w:r>
        <w:rPr>
          <w:rFonts w:ascii="Cambria" w:cs="Cambria" w:eastAsia="Cambria" w:hAnsi="Cambria"/>
          <w:b/>
          <w:bCs/>
          <w:color w:val="1A1A1A"/>
          <w:sz w:val="28"/>
          <w:szCs w:val="28"/>
        </w:rPr>
        <w:t xml:space="preserve">4. Modèle de sécurité : définitions par jeu</w:t>
      </w:r>
    </w:p>
    <w:p>
      <w:pPr>
        <w:spacing w:after="120" w:before="0" w:line="276"/>
        <w:jc w:val="both"/>
      </w:pPr>
      <w:r>
        <w:rPr>
          <w:rFonts w:ascii="Cambria" w:cs="Cambria" w:eastAsia="Cambria" w:hAnsi="Cambria"/>
          <w:sz w:val="21"/>
          <w:szCs w:val="21"/>
        </w:rPr>
        <w:t xml:space="preserve">Nous formulons les garanties visées sous forme de jeux d'adversaire, selon l'usage adopté par ZK-ACE [12] et zkAt [13]. Les esquisses de preuve qui suivent indiquent la réduction envisagée ; elles ne constituent pas des démonstrations complètes, et nous les présentons comme telles.</w:t>
      </w:r>
    </w:p>
    <w:p>
      <w:pPr>
        <w:pStyle w:val="Heading2"/>
        <w:spacing w:after="140" w:before="240"/>
      </w:pPr>
      <w:r>
        <w:rPr>
          <w:rFonts w:ascii="Cambria" w:cs="Cambria" w:eastAsia="Cambria" w:hAnsi="Cambria"/>
          <w:b/>
          <w:bCs/>
          <w:color w:val="1A1A1A"/>
          <w:sz w:val="24"/>
          <w:szCs w:val="24"/>
        </w:rPr>
        <w:t xml:space="preserve">4.1. Hypothèses</w:t>
      </w:r>
    </w:p>
    <w:p>
      <w:pPr>
        <w:pStyle w:val="ListParagraph"/>
        <w:numPr>
          <w:ilvl w:val="0"/>
          <w:numId w:val="3"/>
        </w:numPr>
        <w:spacing w:after="80" w:line="276"/>
        <w:jc w:val="both"/>
      </w:pPr>
      <w:r>
        <w:rPr>
          <w:rFonts w:ascii="Cambria" w:cs="Cambria" w:eastAsia="Cambria" w:hAnsi="Cambria"/>
          <w:sz w:val="21"/>
          <w:szCs w:val="21"/>
        </w:rPr>
        <w:t xml:space="preserve">Solidité de la connaissance de Groth16 : pour tout adversaire produisant une preuve acceptée, il existe un extracteur qui en tire un témoin satisfaisant le circuit.</w:t>
      </w:r>
    </w:p>
    <w:p>
      <w:pPr>
        <w:pStyle w:val="ListParagraph"/>
        <w:numPr>
          <w:ilvl w:val="0"/>
          <w:numId w:val="3"/>
        </w:numPr>
        <w:spacing w:after="80" w:line="276"/>
        <w:jc w:val="both"/>
      </w:pPr>
      <w:r>
        <w:rPr>
          <w:rFonts w:ascii="Cambria" w:cs="Cambria" w:eastAsia="Cambria" w:hAnsi="Cambria"/>
          <w:sz w:val="21"/>
          <w:szCs w:val="21"/>
        </w:rPr>
        <w:t xml:space="preserve">Connaissance nulle parfaite de Groth16 : toute preuve est simulable à partir des seuls signaux publics.</w:t>
      </w:r>
    </w:p>
    <w:p>
      <w:pPr>
        <w:pStyle w:val="ListParagraph"/>
        <w:numPr>
          <w:ilvl w:val="0"/>
          <w:numId w:val="3"/>
        </w:numPr>
        <w:spacing w:after="80" w:line="276"/>
        <w:jc w:val="both"/>
      </w:pPr>
      <w:r>
        <w:rPr>
          <w:rFonts w:ascii="Cambria" w:cs="Cambria" w:eastAsia="Cambria" w:hAnsi="Cambria"/>
          <w:sz w:val="21"/>
          <w:szCs w:val="21"/>
        </w:rPr>
        <w:t xml:space="preserve">Résistance aux collisions de Poseidon sur le corps scalaire de BN254.</w:t>
      </w:r>
    </w:p>
    <w:p>
      <w:pPr>
        <w:pStyle w:val="ListParagraph"/>
        <w:numPr>
          <w:ilvl w:val="0"/>
          <w:numId w:val="3"/>
        </w:numPr>
        <w:spacing w:after="80" w:line="276"/>
        <w:jc w:val="both"/>
      </w:pPr>
      <w:r>
        <w:rPr>
          <w:rFonts w:ascii="Cambria" w:cs="Cambria" w:eastAsia="Cambria" w:hAnsi="Cambria"/>
          <w:sz w:val="21"/>
          <w:szCs w:val="21"/>
        </w:rPr>
        <w:t xml:space="preserve">Pseudo-aléatoirité de Poseidon sur des entrées de haute entropie : la Définition 1 s'appuie sur cette hypothèse, plus forte que la seule résistance aux collisions.</w:t>
      </w:r>
    </w:p>
    <w:p>
      <w:pPr>
        <w:pStyle w:val="ListParagraph"/>
        <w:numPr>
          <w:ilvl w:val="0"/>
          <w:numId w:val="3"/>
        </w:numPr>
        <w:spacing w:after="80" w:line="276"/>
        <w:jc w:val="both"/>
      </w:pPr>
      <w:r>
        <w:rPr>
          <w:rFonts w:ascii="Cambria" w:cs="Cambria" w:eastAsia="Cambria" w:hAnsi="Cambria"/>
          <w:sz w:val="21"/>
          <w:szCs w:val="21"/>
        </w:rPr>
        <w:t xml:space="preserve">L'AS est honnête quant à l'émission : il n'insère dans l'arbre que des engagements correspondant à des jetons qu'il a réellement délivrés. Cette hypothèse est discutée en Section 8.</w:t>
      </w:r>
    </w:p>
    <w:p>
      <w:pPr>
        <w:pStyle w:val="Heading2"/>
        <w:spacing w:after="140" w:before="240"/>
      </w:pPr>
      <w:r>
        <w:rPr>
          <w:rFonts w:ascii="Cambria" w:cs="Cambria" w:eastAsia="Cambria" w:hAnsi="Cambria"/>
          <w:b/>
          <w:bCs/>
          <w:color w:val="1A1A1A"/>
          <w:sz w:val="24"/>
          <w:szCs w:val="24"/>
        </w:rPr>
        <w:t xml:space="preserve">4.2. Confidentialité de l'autorisation</w:t>
      </w:r>
    </w:p>
    <w:p>
      <w:pPr>
        <w:pBdr>
          <w:left w:val="single" w:color="6A7B8C" w:sz="12" w:space="8"/>
        </w:pBdr>
        <w:spacing w:after="60" w:before="200"/>
        <w:ind w:left="180"/>
      </w:pPr>
      <w:r>
        <w:rPr>
          <w:rFonts w:ascii="Cambria" w:cs="Cambria" w:eastAsia="Cambria" w:hAnsi="Cambria"/>
          <w:b/>
          <w:bCs/>
          <w:sz w:val="20"/>
          <w:szCs w:val="20"/>
        </w:rPr>
        <w:t xml:space="preserve">Définition 1 (confidentialité de l'autorisation).</w:t>
      </w:r>
    </w:p>
    <w:p>
      <w:pPr>
        <w:pBdr>
          <w:left w:val="single" w:color="6A7B8C" w:sz="12" w:space="8"/>
        </w:pBdr>
        <w:spacing w:after="60" w:line="264"/>
        <w:ind w:left="180"/>
        <w:jc w:val="both"/>
      </w:pPr>
      <w:r>
        <w:rPr>
          <w:rFonts w:ascii="Cambria" w:cs="Cambria" w:eastAsia="Cambria" w:hAnsi="Cambria"/>
          <w:sz w:val="20"/>
          <w:szCs w:val="20"/>
        </w:rPr>
        <w:t xml:space="preserve">L'adversaire A choisit deux octrois (token₀, sub₀, meta₀) et (token₁, sub₁, meta₁), tous deux valides sous le même contexte public (iss, aud, rs, dom), tous deux présents dans l'arbre d'émission et absents de l'arbre de révocation. Le challenger tire b ∈ {0,1} et produit la preuve π pour l'octroi b, ainsi que ses signaux publics. A renvoie b′.</w:t>
      </w:r>
    </w:p>
    <w:p>
      <w:pPr>
        <w:pBdr>
          <w:left w:val="single" w:color="6A7B8C" w:sz="12" w:space="8"/>
        </w:pBdr>
        <w:spacing w:after="200" w:line="264"/>
        <w:ind w:left="180"/>
        <w:jc w:val="both"/>
      </w:pPr>
      <w:r>
        <w:rPr>
          <w:rFonts w:ascii="Cambria" w:cs="Cambria" w:eastAsia="Cambria" w:hAnsi="Cambria"/>
          <w:sz w:val="20"/>
          <w:szCs w:val="20"/>
        </w:rPr>
        <w:t xml:space="preserve">ZK-OAuthChain satisfait la confidentialité de l'autorisation si |Pr[b′ = b] − 1/2| est négligeable.</w:t>
      </w:r>
    </w:p>
    <w:p>
      <w:pPr>
        <w:spacing w:after="120" w:before="0" w:line="276"/>
        <w:jc w:val="both"/>
      </w:pPr>
      <w:r>
        <w:rPr>
          <w:rFonts w:ascii="Cambria" w:cs="Cambria" w:eastAsia="Cambria" w:hAnsi="Cambria"/>
          <w:sz w:val="21"/>
          <w:szCs w:val="21"/>
        </w:rPr>
        <w:t xml:space="preserve">Esquisse de preuve. Sept des huit signaux publics — les racines, le contexte et le défi — sont identiques dans les deux cas par construction du jeu. Le nullifieur est le seul à dépendre du secret, et il diffère entre les deux octrois. On procède donc en deux transitions. D'abord, par la propriété de connaissance nulle, on remplace π par une preuve simulée à partir des seuls signaux publics : la transition est parfaitement indistinguable, et l'avantage de A ne peut plus provenir que du nullifieur. Ensuite, distinguer Poseidon(h₀, défi, dom) de Poseidon(h₁, défi, dom) sans connaître h₀ ni h₁ contredit l'hypothèse de pseudo-aléatoirité de Poseidon, les engagements h₀ et h₁ étant issus de jetons tirés uniformément. L'avantage de A est donc négligeable.</w:t>
      </w:r>
    </w:p>
    <w:p>
      <w:pPr>
        <w:spacing w:after="220" w:before="40"/>
        <w:jc w:val="both"/>
      </w:pPr>
      <w:r>
        <w:rPr>
          <w:rFonts w:ascii="Cambria" w:cs="Cambria" w:eastAsia="Cambria" w:hAnsi="Cambria"/>
          <w:i/>
          <w:iCs/>
          <w:color w:val="444444"/>
          <w:sz w:val="18"/>
          <w:szCs w:val="18"/>
        </w:rPr>
        <w:t xml:space="preserve">La garantie porte sur ce qui est révélé à la chaîne et au Serveur de Ressource. Elle ne porte pas sur l'AS, qui connaît le jeton par construction — cette limite est discutée en Section 8.1.</w:t>
      </w:r>
    </w:p>
    <w:p>
      <w:pPr>
        <w:pStyle w:val="Heading2"/>
        <w:spacing w:after="140" w:before="240"/>
      </w:pPr>
      <w:r>
        <w:rPr>
          <w:rFonts w:ascii="Cambria" w:cs="Cambria" w:eastAsia="Cambria" w:hAnsi="Cambria"/>
          <w:b/>
          <w:bCs/>
          <w:color w:val="1A1A1A"/>
          <w:sz w:val="24"/>
          <w:szCs w:val="24"/>
        </w:rPr>
        <w:t xml:space="preserve">4.3. Solidité de l'autorisation</w:t>
      </w:r>
    </w:p>
    <w:p>
      <w:pPr>
        <w:pBdr>
          <w:left w:val="single" w:color="6A7B8C" w:sz="12" w:space="8"/>
        </w:pBdr>
        <w:spacing w:after="60" w:before="200"/>
        <w:ind w:left="180"/>
      </w:pPr>
      <w:r>
        <w:rPr>
          <w:rFonts w:ascii="Cambria" w:cs="Cambria" w:eastAsia="Cambria" w:hAnsi="Cambria"/>
          <w:b/>
          <w:bCs/>
          <w:sz w:val="20"/>
          <w:szCs w:val="20"/>
        </w:rPr>
        <w:t xml:space="preserve">Définition 2 (solidité de l'autorisation).</w:t>
      </w:r>
    </w:p>
    <w:p>
      <w:pPr>
        <w:pBdr>
          <w:left w:val="single" w:color="6A7B8C" w:sz="12" w:space="8"/>
        </w:pBdr>
        <w:spacing w:after="200" w:line="264"/>
        <w:ind w:left="180"/>
        <w:jc w:val="both"/>
      </w:pPr>
      <w:r>
        <w:rPr>
          <w:rFonts w:ascii="Cambria" w:cs="Cambria" w:eastAsia="Cambria" w:hAnsi="Cambria"/>
          <w:sz w:val="20"/>
          <w:szCs w:val="20"/>
        </w:rPr>
        <w:t xml:space="preserve">A obtient les signaux publics de polynomialement nombreuses autorisations et peut demander l'émission et la révocation d'engagements. A gagne s'il produit (π*, signaux*) accepté par le contrat, portant sur les racines courantes, tel qu'aucun octroi émis par l'AS et non révoqué ne corresponde au contexte déclaré.</w:t>
      </w:r>
    </w:p>
    <w:p>
      <w:pPr>
        <w:spacing w:after="120" w:before="0" w:line="276"/>
        <w:jc w:val="both"/>
      </w:pPr>
      <w:r>
        <w:rPr>
          <w:rFonts w:ascii="Cambria" w:cs="Cambria" w:eastAsia="Cambria" w:hAnsi="Cambria"/>
          <w:sz w:val="21"/>
          <w:szCs w:val="21"/>
        </w:rPr>
        <w:t xml:space="preserve">Esquisse de preuve. Par solidité de la connaissance, un extracteur produit un témoin (token*, sub*, meta*, chemins) satisfaisant C1 à C5. C2 et C3 imposent que h* = Poseidon(token*, ctx*, meta*) soit une feuille de l'arbre de racine root. Ou bien h* coïncide avec un engagement réellement émis, et le contexte déclaré est alors celui de l'émission par C1 — A n'a donc pas gagné ; ou bien h* est une feuille sans en être une, ce qui fournit une collision de Poseidon dans la vérification de Merkle. C4 exclut symétriquement le cas d'un engagement révoqué : une preuve d'exclusion valide pour une clé présente dans l'arbre de révocation constitue également une collision. L'avantage de A se réduit donc à celui d'un attaquant contre la résistance aux collisions de Poseidon ou contre la solidité de Groth16.</w:t>
      </w:r>
    </w:p>
    <w:p>
      <w:pPr>
        <w:pStyle w:val="Heading2"/>
        <w:spacing w:after="140" w:before="240"/>
      </w:pPr>
      <w:r>
        <w:rPr>
          <w:rFonts w:ascii="Cambria" w:cs="Cambria" w:eastAsia="Cambria" w:hAnsi="Cambria"/>
          <w:b/>
          <w:bCs/>
          <w:color w:val="1A1A1A"/>
          <w:sz w:val="24"/>
          <w:szCs w:val="24"/>
        </w:rPr>
        <w:t xml:space="preserve">4.4. Résistance au rejeu</w:t>
      </w:r>
    </w:p>
    <w:p>
      <w:pPr>
        <w:pBdr>
          <w:left w:val="single" w:color="6A7B8C" w:sz="12" w:space="8"/>
        </w:pBdr>
        <w:spacing w:after="60" w:before="200"/>
        <w:ind w:left="180"/>
      </w:pPr>
      <w:r>
        <w:rPr>
          <w:rFonts w:ascii="Cambria" w:cs="Cambria" w:eastAsia="Cambria" w:hAnsi="Cambria"/>
          <w:b/>
          <w:bCs/>
          <w:sz w:val="20"/>
          <w:szCs w:val="20"/>
        </w:rPr>
        <w:t xml:space="preserve">Définition 3 (résistance au rejeu).</w:t>
      </w:r>
    </w:p>
    <w:p>
      <w:pPr>
        <w:pBdr>
          <w:left w:val="single" w:color="6A7B8C" w:sz="12" w:space="8"/>
        </w:pBdr>
        <w:spacing w:after="200" w:line="264"/>
        <w:ind w:left="180"/>
        <w:jc w:val="both"/>
      </w:pPr>
      <w:r>
        <w:rPr>
          <w:rFonts w:ascii="Cambria" w:cs="Cambria" w:eastAsia="Cambria" w:hAnsi="Cambria"/>
          <w:sz w:val="20"/>
          <w:szCs w:val="20"/>
        </w:rPr>
        <w:t xml:space="preserve">A gagne s'il obtient deux octrois acceptés portant le même nullifieur, ou deux octrois acceptés pour un même triplet (engagement, défi, domaine).</w:t>
      </w:r>
    </w:p>
    <w:p>
      <w:pPr>
        <w:spacing w:after="120" w:before="0" w:line="276"/>
        <w:jc w:val="both"/>
      </w:pPr>
      <w:r>
        <w:rPr>
          <w:rFonts w:ascii="Cambria" w:cs="Cambria" w:eastAsia="Cambria" w:hAnsi="Cambria"/>
          <w:sz w:val="21"/>
          <w:szCs w:val="21"/>
        </w:rPr>
        <w:t xml:space="preserve">Esquisse de preuve. Le premier cas est exclu par l'état du contrat : l'invariant I2, démontré mécaniquement en Section 5.3, établit que tout octroi enregistré a consommé son nullifieur, et la garde correspondante rejette tout nullifieur déjà consommé. Le second cas exigerait deux nullifieurs distincts pour un même triplet, donc une collision de Poseidon, C5 étant une fonction déterministe de ce seul triplet. Notons que cette garantie est une propriété du protocole, et non une hypothèse de déploiement : c'est précisément ce qui manque à zkLogin selon Celi et al.</w:t>
      </w:r>
    </w:p>
    <w:p>
      <w:pPr>
        <w:pStyle w:val="Heading2"/>
        <w:spacing w:after="140" w:before="240"/>
      </w:pPr>
      <w:r>
        <w:rPr>
          <w:rFonts w:ascii="Cambria" w:cs="Cambria" w:eastAsia="Cambria" w:hAnsi="Cambria"/>
          <w:b/>
          <w:bCs/>
          <w:color w:val="1A1A1A"/>
          <w:sz w:val="24"/>
          <w:szCs w:val="24"/>
        </w:rPr>
        <w:t xml:space="preserve">4.5. Séparation de domaine et non-substitution d'audience</w:t>
      </w:r>
    </w:p>
    <w:p>
      <w:pPr>
        <w:pBdr>
          <w:left w:val="single" w:color="6A7B8C" w:sz="12" w:space="8"/>
        </w:pBdr>
        <w:spacing w:after="60" w:before="200"/>
        <w:ind w:left="180"/>
      </w:pPr>
      <w:r>
        <w:rPr>
          <w:rFonts w:ascii="Cambria" w:cs="Cambria" w:eastAsia="Cambria" w:hAnsi="Cambria"/>
          <w:b/>
          <w:bCs/>
          <w:sz w:val="20"/>
          <w:szCs w:val="20"/>
        </w:rPr>
        <w:t xml:space="preserve">Définition 4 (non-substitution d'audience).</w:t>
      </w:r>
    </w:p>
    <w:p>
      <w:pPr>
        <w:pBdr>
          <w:left w:val="single" w:color="6A7B8C" w:sz="12" w:space="8"/>
        </w:pBdr>
        <w:spacing w:after="200" w:line="264"/>
        <w:ind w:left="180"/>
        <w:jc w:val="both"/>
      </w:pPr>
      <w:r>
        <w:rPr>
          <w:rFonts w:ascii="Cambria" w:cs="Cambria" w:eastAsia="Cambria" w:hAnsi="Cambria"/>
          <w:sz w:val="20"/>
          <w:szCs w:val="20"/>
        </w:rPr>
        <w:t xml:space="preserve">A dispose d'octrois émis pour le contexte (iss, aud, rs, dom). A gagne s'il produit une preuve acceptée pour un contexte (iss′, aud′, rs′, dom′) distinct du précédent, sans que l'AS ait émis d'engagement pour ce nouveau contexte.</w:t>
      </w:r>
    </w:p>
    <w:p>
      <w:pPr>
        <w:spacing w:after="120" w:before="0" w:line="276"/>
        <w:jc w:val="both"/>
      </w:pPr>
      <w:r>
        <w:rPr>
          <w:rFonts w:ascii="Cambria" w:cs="Cambria" w:eastAsia="Cambria" w:hAnsi="Cambria"/>
          <w:sz w:val="21"/>
          <w:szCs w:val="21"/>
        </w:rPr>
        <w:t xml:space="preserve">Esquisse de preuve. Modifier une composante du contexte modifie ctx par C1, donc h par C2, sauf collision de Poseidon. Le nouvel engagement h′ n'est alors pas une feuille de l'arbre d'émission, et C3 échoue : le cas se réduit à la solidité de l'autorisation (Définition 2). Une seconde ligne de défense est imposée par le contrat, indépendamment de la cryptographie : il rejette toute preuve dont l'émetteur n'est pas celui déclaré, dont le domaine n'est pas le sien, ou dont l'identifiant de Serveur de Ressource ne coïncide pas avec celui enregistré pour l'appelant. L'invariant I3, démontré mécaniquement en Section 5.3, établit que tout octroi est effectivement attribué à un Serveur de Ressource enregistré.</w:t>
      </w:r>
    </w:p>
    <w:p>
      <w:pPr>
        <w:spacing w:after="220" w:before="40"/>
        <w:jc w:val="both"/>
      </w:pPr>
      <w:r>
        <w:rPr>
          <w:rFonts w:ascii="Cambria" w:cs="Cambria" w:eastAsia="Cambria" w:hAnsi="Cambria"/>
          <w:i/>
          <w:iCs/>
          <w:color w:val="444444"/>
          <w:sz w:val="18"/>
          <w:szCs w:val="18"/>
        </w:rPr>
        <w:t xml:space="preserve">La Section 6.3 rapporte les tests exécutables correspondant aux trois scénarios d'attaque dérivés de l'analyse de zkLogin : substitution de Serveur de Ressource, émetteur non déclaré, et domaine étranger.</w:t>
      </w:r>
    </w:p>
    <w:p>
      <w:r>
        <w:br w:type="page"/>
      </w:r>
    </w:p>
    <w:p>
      <w:pPr>
        <w:pStyle w:val="Heading1"/>
        <w:spacing w:after="140" w:before="360"/>
      </w:pPr>
      <w:r>
        <w:rPr>
          <w:rFonts w:ascii="Cambria" w:cs="Cambria" w:eastAsia="Cambria" w:hAnsi="Cambria"/>
          <w:b/>
          <w:bCs/>
          <w:color w:val="1A1A1A"/>
          <w:sz w:val="28"/>
          <w:szCs w:val="28"/>
        </w:rPr>
        <w:t xml:space="preserve">5. Vérification formelle : protocole et résultats obtenus</w:t>
      </w:r>
    </w:p>
    <w:p>
      <w:pPr>
        <w:spacing w:after="120" w:before="0" w:line="276"/>
        <w:jc w:val="both"/>
      </w:pPr>
      <w:r>
        <w:rPr>
          <w:rFonts w:ascii="Cambria" w:cs="Cambria" w:eastAsia="Cambria" w:hAnsi="Cambria"/>
          <w:sz w:val="21"/>
          <w:szCs w:val="21"/>
        </w:rPr>
        <w:t xml:space="preserve">Cette section ne se borne pas à annoncer une méthode : elle rapporte les résultats effectivement produits par deux chaînes de vérification indépendantes, appliquées aux mêmes invariants.</w:t>
      </w:r>
    </w:p>
    <w:p>
      <w:pPr>
        <w:pStyle w:val="Heading2"/>
        <w:spacing w:after="140" w:before="240"/>
      </w:pPr>
      <w:r>
        <w:rPr>
          <w:rFonts w:ascii="Cambria" w:cs="Cambria" w:eastAsia="Cambria" w:hAnsi="Cambria"/>
          <w:b/>
          <w:bCs/>
          <w:color w:val="1A1A1A"/>
          <w:sz w:val="24"/>
          <w:szCs w:val="24"/>
        </w:rPr>
        <w:t xml:space="preserve">5.1. Invariants de sécurité</w:t>
      </w:r>
    </w:p>
    <w:p>
      <w:pPr>
        <w:spacing w:after="120" w:before="0" w:line="276"/>
        <w:jc w:val="both"/>
      </w:pPr>
      <w:r>
        <w:rPr>
          <w:rFonts w:ascii="Cambria" w:cs="Cambria" w:eastAsia="Cambria" w:hAnsi="Cambria"/>
          <w:sz w:val="21"/>
          <w:szCs w:val="21"/>
        </w:rPr>
        <w:t xml:space="preserve">Les définitions par jeu de la Section 4 se traduisent en invariants d'état du contrat. Deux propriétés auxiliaires de couplage sont nécessaires à leur établissement inductif :</w:t>
      </w:r>
    </w:p>
    <w:p>
      <w:pPr>
        <w:spacing w:after="0" w:before="60"/>
        <w:ind w:left="340"/>
      </w:pPr>
      <w:r>
        <w:rPr>
          <w:rFonts w:ascii="Consolas" w:cs="Consolas" w:eastAsia="Consolas" w:hAnsi="Consolas"/>
          <w:sz w:val="17"/>
          <w:szCs w:val="17"/>
        </w:rPr>
        <w:t xml:space="preserve">J0  (couplage détenteur) ∀u . engagementDe(u) défini ⇒ détenteurDe(engagementDe(u)) = u</w:t>
      </w:r>
    </w:p>
    <w:p>
      <w:pPr>
        <w:spacing w:after="0" w:before="0"/>
        <w:ind w:left="340"/>
      </w:pPr>
      <w:r>
        <w:rPr>
          <w:rFonts w:ascii="Consolas" w:cs="Consolas" w:eastAsia="Consolas" w:hAnsi="Consolas"/>
          <w:sz w:val="17"/>
          <w:szCs w:val="17"/>
        </w:rPr>
        <w:t xml:space="preserve">J1  (couplage RP)        ∀r . idDuRP(r) défini      ⇒ rpDeLId(idDuRP(r)) = r</w:t>
      </w:r>
    </w:p>
    <w:p>
      <w:pPr>
        <w:spacing w:after="0" w:before="0"/>
        <w:ind w:left="340"/>
      </w:pPr>
      <w:r>
        <w:rPr>
          <w:rFonts w:ascii="Consolas" w:cs="Consolas" w:eastAsia="Consolas" w:hAnsi="Consolas"/>
          <w:sz w:val="17"/>
          <w:szCs w:val="17"/>
        </w:rPr>
        <w:t xml:space="preserve">I1  (sûreté)             ∀u . engagementDe(u) défini ⇒ engagementDe(u) ∉ révoqué</w:t>
      </w:r>
    </w:p>
    <w:p>
      <w:pPr>
        <w:spacing w:after="0" w:before="0"/>
        <w:ind w:left="340"/>
      </w:pPr>
      <w:r>
        <w:rPr>
          <w:rFonts w:ascii="Consolas" w:cs="Consolas" w:eastAsia="Consolas" w:hAnsi="Consolas"/>
          <w:sz w:val="17"/>
          <w:szCs w:val="17"/>
        </w:rPr>
        <w:t xml:space="preserve">I2  (intégrité)          ∀n . octroyéÀ(n) défini     ⇒ n ∈ consommé</w:t>
      </w:r>
    </w:p>
    <w:p>
      <w:pPr>
        <w:spacing w:after="0" w:before="0"/>
        <w:ind w:left="340"/>
      </w:pPr>
      <w:r>
        <w:rPr>
          <w:rFonts w:ascii="Consolas" w:cs="Consolas" w:eastAsia="Consolas" w:hAnsi="Consolas"/>
          <w:sz w:val="17"/>
          <w:szCs w:val="17"/>
        </w:rPr>
        <w:t xml:space="preserve">I2b (fraîcheur)          ∀n . octroyéÀ(n) défini     ⇒ époque ≠ 0</w:t>
      </w:r>
    </w:p>
    <w:p>
      <w:pPr>
        <w:spacing w:after="160" w:before="0"/>
        <w:ind w:left="340"/>
      </w:pPr>
      <w:r>
        <w:rPr>
          <w:rFonts w:ascii="Consolas" w:cs="Consolas" w:eastAsia="Consolas" w:hAnsi="Consolas"/>
          <w:sz w:val="17"/>
          <w:szCs w:val="17"/>
        </w:rPr>
        <w:t xml:space="preserve">I3  (liaison d'audience) ∀n . octroyéÀ(n) défini     ⇒ octroyéAuRP(n) enregistré</w:t>
      </w:r>
    </w:p>
    <w:p>
      <w:pPr>
        <w:spacing w:after="120" w:before="0" w:line="276"/>
        <w:jc w:val="both"/>
      </w:pPr>
      <w:r>
        <w:rPr>
          <w:rFonts w:ascii="Cambria" w:cs="Cambria" w:eastAsia="Cambria" w:hAnsi="Cambria"/>
          <w:sz w:val="21"/>
          <w:szCs w:val="21"/>
        </w:rPr>
        <w:t xml:space="preserve">I1 énonce la sûreté : aucun engagement encore attaché à un détenteur n'est révoqué. I2 soutient la résistance au rejeu (Définition 3) : tout accès enregistré résulte d'une preuve vérifiée et a consommé son nullifieur. I3 soutient la non-substitution d'audience (Définition 4) : tout octroi est attribué à un Serveur de Ressource enregistré, dont l'identifiant est celui scellé dans la preuve.</w:t>
      </w:r>
    </w:p>
    <w:p>
      <w:pPr>
        <w:pStyle w:val="Heading2"/>
        <w:spacing w:after="140" w:before="240"/>
      </w:pPr>
      <w:r>
        <w:rPr>
          <w:rFonts w:ascii="Cambria" w:cs="Cambria" w:eastAsia="Cambria" w:hAnsi="Cambria"/>
          <w:b/>
          <w:bCs/>
          <w:color w:val="1A1A1A"/>
          <w:sz w:val="24"/>
          <w:szCs w:val="24"/>
        </w:rPr>
        <w:t xml:space="preserve">5.2. Méthode B — model-checking exhaustif avec ProB</w:t>
      </w:r>
    </w:p>
    <w:p>
      <w:pPr>
        <w:spacing w:after="120" w:before="0" w:line="276"/>
        <w:jc w:val="both"/>
      </w:pPr>
      <w:r>
        <w:rPr>
          <w:rFonts w:ascii="Cambria" w:cs="Cambria" w:eastAsia="Cambria" w:hAnsi="Cambria"/>
          <w:sz w:val="21"/>
          <w:szCs w:val="21"/>
        </w:rPr>
        <w:t xml:space="preserve">Les invariants sont traduits en machines B selon la Méthode B (Abrial, 1996) [1]. Conformément à l'approche de conversion de code Solidity en modèle B décrite par Baba et al. (2024) [2], chaque fonction du contrat devient une opération B et chaque variable d'état une variable de machine. Trois machines ont été soumises à ProB 1.16.1 (Leuschel et Butler, 2003) [19] : la transcription de la spécification initiale, le modèle du contrat durci, et un modèle dédié à la liaison d'audience. Cette dernière séparation garde chaque espace d'états exhaustivement explorable, les deux fragments d'état étant disjoints.</w:t>
      </w:r>
    </w:p>
    <w:p>
      <w:pPr>
        <w:spacing w:after="120" w:before="0" w:line="276"/>
        <w:jc w:val="both"/>
      </w:pPr>
      <w:r>
        <w:rPr>
          <w:rFonts w:ascii="Cambria" w:cs="Cambria" w:eastAsia="Cambria" w:hAnsi="Cambria"/>
          <w:b/>
          <w:bCs/>
          <w:sz w:val="21"/>
          <w:szCs w:val="21"/>
        </w:rPr>
        <w:t xml:space="preserve">Résultat 1 — la spécification initiale viole I1. </w:t>
      </w:r>
      <w:r>
        <w:rPr>
          <w:rFonts w:ascii="Cambria" w:cs="Cambria" w:eastAsia="Cambria" w:hAnsi="Cambria"/>
          <w:sz w:val="21"/>
          <w:szCs w:val="21"/>
        </w:rPr>
        <w:t xml:space="preserve">Sur la première machine, ProB exhibe un contre-exemple en trois opérations. Deux utilisateurs distincts enregistrent le même engagement ; la révocation de l'un marque l'engagement comme révoqué et le détache de son porteur, mais l'autre y reste attaché. L'invariant de sûreté est mis en défaut : un utilisateur conserve un jeton révoqué.</w:t>
      </w:r>
    </w:p>
    <w:p>
      <w:pPr>
        <w:spacing w:after="80" w:before="200"/>
        <w:jc w:val="left"/>
      </w:pPr>
      <w:r>
        <w:rPr>
          <w:rFonts w:ascii="Cambria" w:cs="Cambria" w:eastAsia="Cambria" w:hAnsi="Cambria"/>
          <w:b/>
          <w:bCs/>
          <w:sz w:val="19"/>
          <w:szCs w:val="19"/>
        </w:rPr>
        <w:t xml:space="preserve">Figure 1 — Contre-exemple produit par ProB sur la spécification initiale</w:t>
      </w:r>
    </w:p>
    <w:p>
      <w:pPr>
        <w:spacing w:after="0" w:before="60"/>
        <w:ind w:left="340"/>
      </w:pPr>
      <w:r>
        <w:rPr>
          <w:rFonts w:ascii="Consolas" w:cs="Consolas" w:eastAsia="Consolas" w:hAnsi="Consolas"/>
          <w:sz w:val="17"/>
          <w:szCs w:val="17"/>
        </w:rPr>
        <w:t xml:space="preserve">*** COUNTER EXAMPLE FOUND ***</w:t>
      </w:r>
    </w:p>
    <w:p>
      <w:pPr>
        <w:spacing w:after="0" w:before="0"/>
        <w:ind w:left="340"/>
      </w:pPr>
      <w:r>
        <w:rPr>
          <w:rFonts w:ascii="Consolas" w:cs="Consolas" w:eastAsia="Consolas" w:hAnsi="Consolas"/>
          <w:sz w:val="17"/>
          <w:szCs w:val="17"/>
        </w:rPr>
        <w:t xml:space="preserve">invariant_violation</w:t>
      </w:r>
    </w:p>
    <w:p>
      <w:pPr>
        <w:spacing w:after="0" w:before="0"/>
        <w:ind w:left="340"/>
      </w:pPr>
      <w:r>
        <w:rPr>
          <w:rFonts w:ascii="Consolas" w:cs="Consolas" w:eastAsia="Consolas" w:hAnsi="Consolas"/>
          <w:sz w:val="17"/>
          <w:szCs w:val="17"/>
        </w:rPr>
        <w:t xml:space="preserve">*** TRACE (length=4):</w:t>
      </w:r>
    </w:p>
    <w:p>
      <w:pPr>
        <w:spacing w:after="0" w:before="0"/>
        <w:ind w:left="340"/>
      </w:pPr>
      <w:r>
        <w:rPr>
          <w:rFonts w:ascii="Consolas" w:cs="Consolas" w:eastAsia="Consolas" w:hAnsi="Consolas"/>
          <w:sz w:val="17"/>
          <w:szCs w:val="17"/>
        </w:rPr>
        <w:t xml:space="preserve"> 1: INITIALISATION(commitments={},epoch=0,granted={},revoked={},used={})</w:t>
      </w:r>
    </w:p>
    <w:p>
      <w:pPr>
        <w:spacing w:after="0" w:before="0"/>
        <w:ind w:left="340"/>
      </w:pPr>
      <w:r>
        <w:rPr>
          <w:rFonts w:ascii="Consolas" w:cs="Consolas" w:eastAsia="Consolas" w:hAnsi="Consolas"/>
          <w:sz w:val="17"/>
          <w:szCs w:val="17"/>
        </w:rPr>
        <w:t xml:space="preserve"> 2: registerCommitment(u1,c1)</w:t>
      </w:r>
    </w:p>
    <w:p>
      <w:pPr>
        <w:spacing w:after="0" w:before="0"/>
        <w:ind w:left="340"/>
      </w:pPr>
      <w:r>
        <w:rPr>
          <w:rFonts w:ascii="Consolas" w:cs="Consolas" w:eastAsia="Consolas" w:hAnsi="Consolas"/>
          <w:sz w:val="17"/>
          <w:szCs w:val="17"/>
        </w:rPr>
        <w:t xml:space="preserve"> 3: registerCommitment(u3,c1)</w:t>
      </w:r>
    </w:p>
    <w:p>
      <w:pPr>
        <w:spacing w:after="0" w:before="0"/>
        <w:ind w:left="340"/>
      </w:pPr>
      <w:r>
        <w:rPr>
          <w:rFonts w:ascii="Consolas" w:cs="Consolas" w:eastAsia="Consolas" w:hAnsi="Consolas"/>
          <w:sz w:val="17"/>
          <w:szCs w:val="17"/>
        </w:rPr>
        <w:t xml:space="preserve"> 4: revokeCommitment(u3)</w:t>
      </w:r>
    </w:p>
    <w:p>
      <w:pPr>
        <w:spacing w:after="0" w:before="0"/>
        <w:ind w:left="340"/>
      </w:pPr>
      <w:r>
        <w:rPr>
          <w:rFonts w:ascii="Consolas" w:cs="Consolas" w:eastAsia="Consolas" w:hAnsi="Consolas"/>
          <w:sz w:val="17"/>
          <w:szCs w:val="17"/>
        </w:rPr>
        <w:t xml:space="preserve">*** Invariant 5 est faux :</w:t>
      </w:r>
    </w:p>
    <w:p>
      <w:pPr>
        <w:spacing w:after="160" w:before="0"/>
        <w:ind w:left="340"/>
      </w:pPr>
      <w:r>
        <w:rPr>
          <w:rFonts w:ascii="Consolas" w:cs="Consolas" w:eastAsia="Consolas" w:hAnsi="Consolas"/>
          <w:sz w:val="17"/>
          <w:szCs w:val="17"/>
        </w:rPr>
        <w:t xml:space="preserve">   !u.(u : dom(commitments) =&gt; commitments(u) /: revoked)</w:t>
      </w:r>
    </w:p>
    <w:p>
      <w:pPr>
        <w:spacing w:after="120" w:before="0" w:line="276"/>
        <w:jc w:val="both"/>
      </w:pPr>
      <w:r>
        <w:rPr>
          <w:rFonts w:ascii="Cambria" w:cs="Cambria" w:eastAsia="Cambria" w:hAnsi="Cambria"/>
          <w:sz w:val="21"/>
          <w:szCs w:val="21"/>
        </w:rPr>
        <w:t xml:space="preserve">Cette découverte n'est pas un artefact du modèle : elle correspond à une faiblesse réelle du contrat, reproduite puis neutralisée dans la suite de tests de l'implémentation. La correction consiste à maintenir la réciproque détenteurDe et à exiger qu'un engagement n'ait qu'un détenteur — d'où la structure de l'Algorithme 1.</w:t>
      </w:r>
    </w:p>
    <w:p>
      <w:pPr>
        <w:spacing w:after="120" w:before="0" w:line="276"/>
        <w:jc w:val="both"/>
      </w:pPr>
      <w:r>
        <w:rPr>
          <w:rFonts w:ascii="Cambria" w:cs="Cambria" w:eastAsia="Cambria" w:hAnsi="Cambria"/>
          <w:b/>
          <w:bCs/>
          <w:sz w:val="21"/>
          <w:szCs w:val="21"/>
        </w:rPr>
        <w:t xml:space="preserve">Résultat 2 — le contrat durci satisfait tous les invariants. </w:t>
      </w:r>
      <w:r>
        <w:rPr>
          <w:rFonts w:ascii="Cambria" w:cs="Cambria" w:eastAsia="Cambria" w:hAnsi="Cambria"/>
          <w:sz w:val="21"/>
          <w:szCs w:val="21"/>
        </w:rPr>
        <w:t xml:space="preserve">Sur la deuxième machine, ProB explore exhaustivement l'espace d'états accessible : 8 600 états et 48 379 transitions, en 7 000 ms, toutes opérations couvertes, aucun contre-exemple. J0, I1, I2 et I2b sont établis sur ce domaine fini. La machine dédiée à la liaison d'audience établit de même J1 et I3 sur 1 155 états et 2 553 transitions, en 2 406 ms.</w:t>
      </w:r>
    </w:p>
    <w:p>
      <w:pPr>
        <w:pStyle w:val="Heading2"/>
        <w:spacing w:after="140" w:before="240"/>
      </w:pPr>
      <w:r>
        <w:rPr>
          <w:rFonts w:ascii="Cambria" w:cs="Cambria" w:eastAsia="Cambria" w:hAnsi="Cambria"/>
          <w:b/>
          <w:bCs/>
          <w:color w:val="1A1A1A"/>
          <w:sz w:val="24"/>
          <w:szCs w:val="24"/>
        </w:rPr>
        <w:t xml:space="preserve">5.3. Preuve sur le code Solidity — SMTChecker (moteur CHC, solveur z3)</w:t>
      </w:r>
    </w:p>
    <w:p>
      <w:pPr>
        <w:spacing w:after="120" w:before="0" w:line="276"/>
        <w:jc w:val="both"/>
      </w:pPr>
      <w:r>
        <w:rPr>
          <w:rFonts w:ascii="Cambria" w:cs="Cambria" w:eastAsia="Cambria" w:hAnsi="Cambria"/>
          <w:sz w:val="21"/>
          <w:szCs w:val="21"/>
        </w:rPr>
        <w:t xml:space="preserve">Le model-checking porte sur un modèle ; nous l'avons complété par une preuve conduite directement sur le code Solidity, au moyen du SMTChecker intégré à solc 0.8.28 (Alt et Reitwiessner, 2018) [18], avec le moteur CHC (clauses de Horn contraintes) et le solveur z3 4.12.6. Le vérificateur Groth16 y est abstrait par un oracle booléen non contraint : la preuve couvre donc les deux issues possibles de la vérification cryptographique, ce qui est strictement plus fort que de raisonner sur une implémentation particulière. Chaque invariant est exprimé par une fonction publique d'assertion paramétrée, que le moteur doit établir dans tout état accessible, pour toute séquence d'appels et tout argument — c'est-à-dire prouver l'énoncé universellement quantifié.</w:t>
      </w:r>
    </w:p>
    <w:p>
      <w:pPr>
        <w:spacing w:after="80" w:before="200"/>
        <w:jc w:val="left"/>
      </w:pPr>
      <w:r>
        <w:rPr>
          <w:rFonts w:ascii="Cambria" w:cs="Cambria" w:eastAsia="Cambria" w:hAnsi="Cambria"/>
          <w:b/>
          <w:bCs/>
          <w:sz w:val="19"/>
          <w:szCs w:val="19"/>
        </w:rPr>
        <w:t xml:space="preserve">Tableau 2 — Obligations de preuve soumises au moteur CHC</w:t>
      </w:r>
    </w:p>
    <w:tbl>
      <w:tblPr>
        <w:tblW w:type="dxa" w:w="9070"/>
        <w:tblBorders>
          <w:top w:val="single" w:color="AAB4C0" w:sz="3"/>
          <w:left w:val="single" w:color="AAB4C0" w:sz="3"/>
          <w:bottom w:val="single" w:color="AAB4C0" w:sz="3"/>
          <w:right w:val="single" w:color="AAB4C0" w:sz="3"/>
          <w:insideH w:val="single" w:color="AAB4C0" w:sz="3"/>
          <w:insideV w:val="single" w:color="AAB4C0" w:sz="3"/>
        </w:tblBorders>
      </w:tblPr>
      <w:tblGrid>
        <w:gridCol w:w="2177"/>
        <w:gridCol w:w="3991"/>
        <w:gridCol w:w="2902"/>
      </w:tblGrid>
      <w:tr>
        <w:trPr>
          <w:tblHeader/>
        </w:trPr>
        <w:tc>
          <w:tcPr>
            <w:tcW w:type="dxa" w:w="2177"/>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Obligation</w:t>
            </w:r>
          </w:p>
        </w:tc>
        <w:tc>
          <w:tcPr>
            <w:tcW w:type="dxa" w:w="3991"/>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Énoncé vérifié</w:t>
            </w:r>
          </w:p>
        </w:tc>
        <w:tc>
          <w:tcPr>
            <w:tcW w:type="dxa" w:w="2902"/>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Résultat</w:t>
            </w:r>
          </w:p>
        </w:tc>
      </w:tr>
      <w:tr>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I2 — intégrité</w:t>
            </w:r>
          </w:p>
        </w:tc>
        <w:tc>
          <w:tcPr>
            <w:tcW w:type="dxa" w:w="399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grantedEpoch[n] = 0 ∨ nullifierUsed[n]</w:t>
            </w:r>
          </w:p>
        </w:tc>
        <w:tc>
          <w:tcPr>
            <w:tcW w:type="dxa" w:w="2902"/>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Prouvé sûr</w:t>
            </w:r>
          </w:p>
        </w:tc>
      </w:tr>
      <w:tr>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I2b — fraîcheur</w:t>
            </w:r>
          </w:p>
        </w:tc>
        <w:tc>
          <w:tcPr>
            <w:tcW w:type="dxa" w:w="399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grantedEpoch[n] = 0 ∨ epoch ≠ 0</w:t>
            </w:r>
          </w:p>
        </w:tc>
        <w:tc>
          <w:tcPr>
            <w:tcW w:type="dxa" w:w="2902"/>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Prouvé sûr</w:t>
            </w:r>
          </w:p>
        </w:tc>
      </w:tr>
      <w:tr>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I3 — liaison d'audience</w:t>
            </w:r>
          </w:p>
        </w:tc>
        <w:tc>
          <w:tcPr>
            <w:tcW w:type="dxa" w:w="399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grantedEpoch[n] = 0 ∨ grantedRsId[n] ≠ 0</w:t>
            </w:r>
          </w:p>
        </w:tc>
        <w:tc>
          <w:tcPr>
            <w:tcW w:type="dxa" w:w="2902"/>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Prouvé sûr</w:t>
            </w:r>
          </w:p>
        </w:tc>
      </w:tr>
      <w:tr>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I1′ — sûreté (forme duale)</w:t>
            </w:r>
          </w:p>
        </w:tc>
        <w:tc>
          <w:tcPr>
            <w:tcW w:type="dxa" w:w="399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holderOf[c] = 0 ∨ ¬revoked[c]</w:t>
            </w:r>
          </w:p>
        </w:tc>
        <w:tc>
          <w:tcPr>
            <w:tcW w:type="dxa" w:w="2902"/>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Prouvé sûr</w:t>
            </w:r>
          </w:p>
        </w:tc>
      </w:tr>
      <w:tr>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I1 — sûreté (forme directe)</w:t>
            </w:r>
          </w:p>
        </w:tc>
        <w:tc>
          <w:tcPr>
            <w:tcW w:type="dxa" w:w="399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commitmentOf[u] = 0 ∨ ¬revoked[commitmentOf[u]]</w:t>
            </w:r>
          </w:p>
        </w:tc>
        <w:tc>
          <w:tcPr>
            <w:tcW w:type="dxa" w:w="290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Indéterminé — limite de l'outil</w:t>
            </w:r>
          </w:p>
        </w:tc>
      </w:tr>
      <w:tr>
        <w:tc>
          <w:tcPr>
            <w:tcW w:type="dxa" w:w="2177"/>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J0 — couplage</w:t>
            </w:r>
          </w:p>
        </w:tc>
        <w:tc>
          <w:tcPr>
            <w:tcW w:type="dxa" w:w="399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commitmentOf[u] = 0 ∨ holderOf[commitmentOf[u]] = u</w:t>
            </w:r>
          </w:p>
        </w:tc>
        <w:tc>
          <w:tcPr>
            <w:tcW w:type="dxa" w:w="290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Indéterminé — limite de l'outil</w:t>
            </w:r>
          </w:p>
        </w:tc>
      </w:tr>
    </w:tbl>
    <w:p>
      <w:pPr>
        <w:spacing w:after="120" w:before="0" w:line="276"/>
        <w:jc w:val="both"/>
      </w:pPr>
      <w:r>
        <w:rPr>
          <w:rFonts w:ascii="Cambria" w:cs="Cambria" w:eastAsia="Cambria" w:hAnsi="Cambria"/>
          <w:sz w:val="21"/>
          <w:szCs w:val="21"/>
        </w:rPr>
        <w:t xml:space="preserve">Les 4 obligations décidées le sont positivement. Les 2 obligations indéterminées partagent une même caractéristique : elles comportent un déréférencement imbriqué de dictionnaires, que le raisonnement sur tableaux de Spacer ne parvient pas à généraliser. Le solveur ne produit aucun contre-exemple ; il ne conclut pas. La forme duale I1′, indexée par l'engagement et donc dépourvue d'imbrication, exprime la même propriété sous J0 et est, elle, démontrée. Ces deux obligations sont par ailleurs couvertes par le model-checking exhaustif de la section précédente : les deux chaînes sont complémentaires, la première prouvant sur le code réel ce qu'elle peut décider, la seconde établissant sur un domaine fini ce que la première laisse ouvert.</w:t>
      </w:r>
    </w:p>
    <w:p>
      <w:pPr>
        <w:spacing w:after="120" w:before="0" w:line="276"/>
        <w:jc w:val="both"/>
      </w:pPr>
      <w:r>
        <w:rPr>
          <w:rFonts w:ascii="Cambria" w:cs="Cambria" w:eastAsia="Cambria" w:hAnsi="Cambria"/>
          <w:b/>
          <w:bCs/>
          <w:sz w:val="21"/>
          <w:szCs w:val="21"/>
        </w:rPr>
        <w:t xml:space="preserve">Résultat 3 — la vérification a orienté la conception. </w:t>
      </w:r>
      <w:r>
        <w:rPr>
          <w:rFonts w:ascii="Cambria" w:cs="Cambria" w:eastAsia="Cambria" w:hAnsi="Cambria"/>
          <w:sz w:val="21"/>
          <w:szCs w:val="21"/>
        </w:rPr>
        <w:t xml:space="preserve">Deux modifications du contrat découlent directement de ces exécutions. D'une part, la rotation d'engagement a été rendue explicite : écrire à deux indices symboliquement distincts dans une même fonction empêchait le moteur d'inférer l'invariant quantifié. D'autre part, une garde interdit l'adresse nulle comme détenteur : le SMTChecker a exhibé une violation avérée exploitant l'ambiguïté entre l'adresse nulle sentinelle et une adresse nulle détentrice, qui réintroduisait exactement l'aliasing détecté par ProB. La vérification formelle n'a donc pas seulement confirmé un code existant : elle en a corrigé deux défauts et façonné la structure.</w:t>
      </w:r>
    </w:p>
    <w:p>
      <w:r>
        <w:br w:type="page"/>
      </w:r>
    </w:p>
    <w:p>
      <w:pPr>
        <w:pStyle w:val="Heading1"/>
        <w:spacing w:after="140" w:before="360"/>
      </w:pPr>
      <w:r>
        <w:rPr>
          <w:rFonts w:ascii="Cambria" w:cs="Cambria" w:eastAsia="Cambria" w:hAnsi="Cambria"/>
          <w:b/>
          <w:bCs/>
          <w:color w:val="1A1A1A"/>
          <w:sz w:val="28"/>
          <w:szCs w:val="28"/>
        </w:rPr>
        <w:t xml:space="preserve">6. Implémentation</w:t>
      </w:r>
    </w:p>
    <w:p>
      <w:pPr>
        <w:pStyle w:val="Heading2"/>
        <w:spacing w:after="140" w:before="240"/>
      </w:pPr>
      <w:r>
        <w:rPr>
          <w:rFonts w:ascii="Cambria" w:cs="Cambria" w:eastAsia="Cambria" w:hAnsi="Cambria"/>
          <w:b/>
          <w:bCs/>
          <w:color w:val="1A1A1A"/>
          <w:sz w:val="24"/>
          <w:szCs w:val="24"/>
        </w:rPr>
        <w:t xml:space="preserve">6.1. Chaîne d'outils</w:t>
      </w:r>
    </w:p>
    <w:p>
      <w:pPr>
        <w:spacing w:after="120" w:before="0" w:line="276"/>
        <w:jc w:val="both"/>
      </w:pPr>
      <w:r>
        <w:rPr>
          <w:rFonts w:ascii="Cambria" w:cs="Cambria" w:eastAsia="Cambria" w:hAnsi="Cambria"/>
          <w:sz w:val="21"/>
          <w:szCs w:val="21"/>
        </w:rPr>
        <w:t xml:space="preserve">Le prototype est intégralement reproductible. Le circuit est écrit en Circom 2.2.2 et s'appuie sur circomlib pour la permutation Poseidon et pour le vérificateur de Sparse Merkle Tree. La chaîne Groth16 (setup de phase 2, export de la clé de vérification, génération du vérificateur Solidity) est assurée par snarkjs 0.7.5. Les contrats sont compilés avec solc 0.8.28, optimiseur activé (200 exécutions), cible EVM Cancun, et déployés au moyen de Hardhat et d'ethers 6.</w:t>
      </w:r>
    </w:p>
    <w:p>
      <w:pPr>
        <w:pStyle w:val="Heading2"/>
        <w:spacing w:after="140" w:before="240"/>
      </w:pPr>
      <w:r>
        <w:rPr>
          <w:rFonts w:ascii="Cambria" w:cs="Cambria" w:eastAsia="Cambria" w:hAnsi="Cambria"/>
          <w:b/>
          <w:bCs/>
          <w:color w:val="1A1A1A"/>
          <w:sz w:val="24"/>
          <w:szCs w:val="24"/>
        </w:rPr>
        <w:t xml:space="preserve">6.2. Circuit ZKP</w:t>
      </w:r>
    </w:p>
    <w:p>
      <w:pPr>
        <w:spacing w:after="120" w:before="0" w:line="276"/>
        <w:jc w:val="both"/>
      </w:pPr>
      <w:r>
        <w:rPr>
          <w:rFonts w:ascii="Cambria" w:cs="Cambria" w:eastAsia="Cambria" w:hAnsi="Cambria"/>
          <w:sz w:val="21"/>
          <w:szCs w:val="21"/>
        </w:rPr>
        <w:t xml:space="preserve">Le circuit instancie un arbre de Merkle de 20 niveaux, soit une capacité de 1 048 576 engagements émis, et un Sparse Merkle Tree de révocation de même profondeur. Il expose 8 signaux publics et conserve privés le jeton, le sujet, les métadonnées, le chemin d'authentification de Merkle et le témoin d'exclusion.</w:t>
      </w:r>
    </w:p>
    <w:p>
      <w:pPr>
        <w:spacing w:after="80" w:before="200"/>
        <w:jc w:val="left"/>
      </w:pPr>
      <w:r>
        <w:rPr>
          <w:rFonts w:ascii="Cambria" w:cs="Cambria" w:eastAsia="Cambria" w:hAnsi="Cambria"/>
          <w:b/>
          <w:bCs/>
          <w:sz w:val="19"/>
          <w:szCs w:val="19"/>
        </w:rPr>
        <w:t xml:space="preserve">Tableau 3 — Circuit compilé</w:t>
      </w:r>
    </w:p>
    <w:tbl>
      <w:tblPr>
        <w:tblW w:type="dxa" w:w="9070"/>
        <w:tblBorders>
          <w:top w:val="single" w:color="AAB4C0" w:sz="3"/>
          <w:left w:val="single" w:color="AAB4C0" w:sz="3"/>
          <w:bottom w:val="single" w:color="AAB4C0" w:sz="3"/>
          <w:right w:val="single" w:color="AAB4C0" w:sz="3"/>
          <w:insideH w:val="single" w:color="AAB4C0" w:sz="3"/>
          <w:insideV w:val="single" w:color="AAB4C0" w:sz="3"/>
        </w:tblBorders>
      </w:tblPr>
      <w:tblGrid>
        <w:gridCol w:w="5261"/>
        <w:gridCol w:w="3809"/>
      </w:tblGrid>
      <w:tr>
        <w:trPr>
          <w:tblHeader/>
        </w:trPr>
        <w:tc>
          <w:tcPr>
            <w:tcW w:type="dxa" w:w="5261"/>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Grandeur</w:t>
            </w:r>
          </w:p>
        </w:tc>
        <w:tc>
          <w:tcPr>
            <w:tcW w:type="dxa" w:w="3809"/>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Valeur</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Contraintes R1CS</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25 383</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Variables</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25 428</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Signaux publics</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8</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Profondeur des arbres (émission / révocation)</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20 / 20 niveaux</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Puissance Powers of Tau</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2^15</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Clé de preuve (zkey)</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11,4 Mo</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Témoin WebAssembly</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3,1 Mo</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Taille de la preuve Groth16</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256 octets (2 × G1 + 1 × G2)</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Signaux publics sérialisés</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256 octets</w:t>
            </w:r>
          </w:p>
        </w:tc>
      </w:tr>
      <w:tr>
        <w:tc>
          <w:tcPr>
            <w:tcW w:type="dxa" w:w="52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Calldata d'une autorisation</w:t>
            </w:r>
          </w:p>
        </w:tc>
        <w:tc>
          <w:tcPr>
            <w:tcW w:type="dxa" w:w="380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516 octets</w:t>
            </w:r>
          </w:p>
        </w:tc>
      </w:tr>
    </w:tbl>
    <w:p>
      <w:pPr>
        <w:spacing w:after="220" w:before="40"/>
        <w:jc w:val="both"/>
      </w:pPr>
      <w:r>
        <w:rPr>
          <w:rFonts w:ascii="Cambria" w:cs="Cambria" w:eastAsia="Cambria" w:hAnsi="Cambria"/>
          <w:i/>
          <w:iCs/>
          <w:color w:val="444444"/>
          <w:sz w:val="18"/>
          <w:szCs w:val="18"/>
        </w:rPr>
        <w:t xml:space="preserve">Le passage de 4 à 8 signaux publics, requis par la liaison de contexte, est le poste de coût de cette propriété : il ajoute 128 octets de calldata et environ 26 529 gas de vérification par rapport à une conception sans liaison, mesurée sur une version antérieure du même circuit.</w:t>
      </w:r>
    </w:p>
    <w:p>
      <w:pPr>
        <w:pStyle w:val="Heading2"/>
        <w:spacing w:after="140" w:before="240"/>
      </w:pPr>
      <w:r>
        <w:rPr>
          <w:rFonts w:ascii="Cambria" w:cs="Cambria" w:eastAsia="Cambria" w:hAnsi="Cambria"/>
          <w:b/>
          <w:bCs/>
          <w:color w:val="1A1A1A"/>
          <w:sz w:val="24"/>
          <w:szCs w:val="24"/>
        </w:rPr>
        <w:t xml:space="preserve">6.3. Contrat d'autorisation et tests</w:t>
      </w:r>
    </w:p>
    <w:p>
      <w:pPr>
        <w:spacing w:after="120" w:before="0" w:line="276"/>
        <w:jc w:val="both"/>
      </w:pPr>
      <w:r>
        <w:rPr>
          <w:rFonts w:ascii="Cambria" w:cs="Cambria" w:eastAsia="Cambria" w:hAnsi="Cambria"/>
          <w:sz w:val="21"/>
          <w:szCs w:val="21"/>
        </w:rPr>
        <w:t xml:space="preserve">Le contrat ZKAuthRegistry implémente l'Algorithme 1. Il expose une vérification en lecture, sans transaction, à l'usage du Serveur de Ressource, et une opération d'autorisation qui vérifie le contexte puis la preuve avant de consommer le nullifieur. Le vérificateur Groth16, généré par snarkjs, est déployé séparément et référencé de manière immuable.</w:t>
      </w:r>
    </w:p>
    <w:p>
      <w:pPr>
        <w:spacing w:after="120" w:before="0" w:line="276"/>
        <w:jc w:val="both"/>
      </w:pPr>
      <w:r>
        <w:rPr>
          <w:rFonts w:ascii="Cambria" w:cs="Cambria" w:eastAsia="Cambria" w:hAnsi="Cambria"/>
          <w:sz w:val="21"/>
          <w:szCs w:val="21"/>
        </w:rPr>
        <w:t xml:space="preserve">Une suite de quatorze tests on-chain couvre le chemin nominal et les chemins d'échec. Trois d'entre eux instancient directement les scénarios d'attaque dérivés de l'analyse de zkLogin : une preuve légitime soumise par un autre Serveur de Ressource est rejetée, tandis que le destinataire légitime l'accepte ; une preuve issue d'un émetteur non déclaré est rejetée ; une preuve produite pour un autre domaine est rejetée. Un quatrième test vérifie que la liaison est cryptographique et non seulement contractuelle : déclarer un autre Serveur de Ressource dans les signaux publics rend le circuit insatisfiable, la génération de preuve échouant sur la contrainte d'appartenance de Merkle. Un cinquième rejoue le contre-exemple produit par ProB.</w:t>
      </w:r>
    </w:p>
    <w:p>
      <w:pPr>
        <w:pStyle w:val="Heading2"/>
        <w:spacing w:after="140" w:before="240"/>
      </w:pPr>
      <w:r>
        <w:rPr>
          <w:rFonts w:ascii="Cambria" w:cs="Cambria" w:eastAsia="Cambria" w:hAnsi="Cambria"/>
          <w:b/>
          <w:bCs/>
          <w:color w:val="1A1A1A"/>
          <w:sz w:val="24"/>
          <w:szCs w:val="24"/>
        </w:rPr>
        <w:t xml:space="preserve">6.4. Déploiement</w:t>
      </w:r>
    </w:p>
    <w:p>
      <w:pPr>
        <w:spacing w:after="120" w:before="0" w:line="276"/>
        <w:jc w:val="both"/>
      </w:pPr>
      <w:r>
        <w:rPr>
          <w:rFonts w:ascii="Cambria" w:cs="Cambria" w:eastAsia="Cambria" w:hAnsi="Cambria"/>
          <w:sz w:val="21"/>
          <w:szCs w:val="21"/>
        </w:rPr>
        <w:t xml:space="preserve">Les contrats ont été déployés et mesurés sur un nœud EVM local (chainId 31337), dont la sémantique d'exécution et la tarification en gas sont identiques à celles du réseau public. Les coûts de déploiement relevés sont de 486 118 gas pour le vérificateur Groth16 et 912 338 gas pour le registre d'autorisation ; l'enregistrement d'un Serveur de Ressource coûte 68 086 gas, une seule fois.</w:t>
      </w:r>
    </w:p>
    <w:p>
      <w:pPr>
        <w:spacing w:after="120" w:before="0" w:line="276"/>
        <w:jc w:val="both"/>
      </w:pPr>
      <w:r>
        <w:rPr>
          <w:rFonts w:ascii="Cambria" w:cs="Cambria" w:eastAsia="Cambria" w:hAnsi="Cambria"/>
          <w:sz w:val="21"/>
          <w:szCs w:val="21"/>
        </w:rPr>
        <w:t xml:space="preserve">Le déploiement sur le testnet public Sepolia est paramétré par le même script : il requiert uniquement un point d'accès RPC et un compte de test alimenté par un faucet, et produit un enregistrement des adresses et des hachages de transaction. Les mesures de gas rapportées en Section 7 étant déterminées par la sémantique de l'EVM et non par le réseau, elles sont transposables sans modification ; seules les latences de soumission de transaction diffèrent, dominées par le temps de production de bloc du réseau public.</w:t>
      </w:r>
    </w:p>
    <w:p>
      <w:r>
        <w:br w:type="page"/>
      </w:r>
    </w:p>
    <w:p>
      <w:pPr>
        <w:pStyle w:val="Heading1"/>
        <w:spacing w:after="140" w:before="360"/>
      </w:pPr>
      <w:r>
        <w:rPr>
          <w:rFonts w:ascii="Cambria" w:cs="Cambria" w:eastAsia="Cambria" w:hAnsi="Cambria"/>
          <w:b/>
          <w:bCs/>
          <w:color w:val="1A1A1A"/>
          <w:sz w:val="28"/>
          <w:szCs w:val="28"/>
        </w:rPr>
        <w:t xml:space="preserve">7. Évaluation expérimentale</w:t>
      </w:r>
    </w:p>
    <w:p>
      <w:pPr>
        <w:pStyle w:val="Heading2"/>
        <w:spacing w:after="140" w:before="240"/>
      </w:pPr>
      <w:r>
        <w:rPr>
          <w:rFonts w:ascii="Cambria" w:cs="Cambria" w:eastAsia="Cambria" w:hAnsi="Cambria"/>
          <w:b/>
          <w:bCs/>
          <w:color w:val="1A1A1A"/>
          <w:sz w:val="24"/>
          <w:szCs w:val="24"/>
        </w:rPr>
        <w:t xml:space="preserve">7.1. Protocole de mesure</w:t>
      </w:r>
    </w:p>
    <w:p>
      <w:pPr>
        <w:spacing w:after="120" w:before="0" w:line="276"/>
        <w:jc w:val="both"/>
      </w:pPr>
      <w:r>
        <w:rPr>
          <w:rFonts w:ascii="Cambria" w:cs="Cambria" w:eastAsia="Cambria" w:hAnsi="Cambria"/>
          <w:sz w:val="21"/>
          <w:szCs w:val="21"/>
        </w:rPr>
        <w:t xml:space="preserve">Les mesures ont été réalisées sur 13th Gen Intel(R) Core(TM) i5-13420H (12 cœurs logiques, 16,8 Go de mémoire), sous Windows_NT 10.0.26200, avec Node v24.15.0. Le Serveur d'Autorisation émet 64 jetons, dont trois sont révoqués, de sorte que l'arbre de révocation ne soit pas vide et que la preuve d'exclusion soit effectivement sollicitée. 40 autorisations complètes ont été mesurées, et 200 flux OAuth 2.0.</w:t>
      </w:r>
    </w:p>
    <w:p>
      <w:pPr>
        <w:spacing w:after="120" w:before="0" w:line="276"/>
        <w:jc w:val="both"/>
      </w:pPr>
      <w:r>
        <w:rPr>
          <w:rFonts w:ascii="Cambria" w:cs="Cambria" w:eastAsia="Cambria" w:hAnsi="Cambria"/>
          <w:b/>
          <w:bCs/>
          <w:sz w:val="21"/>
          <w:szCs w:val="21"/>
        </w:rPr>
        <w:t xml:space="preserve">Chaque preuve est générée dans un processus neuf. </w:t>
      </w:r>
      <w:r>
        <w:rPr>
          <w:rFonts w:ascii="Cambria" w:cs="Cambria" w:eastAsia="Cambria" w:hAnsi="Cambria"/>
          <w:sz w:val="21"/>
          <w:szCs w:val="21"/>
        </w:rPr>
        <w:t xml:space="preserve">Ce choix méthodologique reproduit le comportement réel d'un client, qui produit une preuve par autorisation, et surtout il élimine une source d'erreur significative : snarkjs ne libère pas ses pools de threads entre deux appels. Mesurées en boucle dans un même processus, les générations successives se dégradent d'un facteur quatre et leur dispersion explose. Nous signalons ce biais parce qu'il affecte silencieusement toute campagne de mesure naïve sur cette bibliothèque.</w:t>
      </w:r>
    </w:p>
    <w:p>
      <w:pPr>
        <w:pStyle w:val="Heading2"/>
        <w:spacing w:after="140" w:before="240"/>
      </w:pPr>
      <w:r>
        <w:rPr>
          <w:rFonts w:ascii="Cambria" w:cs="Cambria" w:eastAsia="Cambria" w:hAnsi="Cambria"/>
          <w:b/>
          <w:bCs/>
          <w:color w:val="1A1A1A"/>
          <w:sz w:val="24"/>
          <w:szCs w:val="24"/>
        </w:rPr>
        <w:t xml:space="preserve">7.2. Temps de génération et de vérification</w:t>
      </w:r>
    </w:p>
    <w:p>
      <w:pPr>
        <w:spacing w:after="80" w:before="200"/>
        <w:jc w:val="left"/>
      </w:pPr>
      <w:r>
        <w:rPr>
          <w:rFonts w:ascii="Cambria" w:cs="Cambria" w:eastAsia="Cambria" w:hAnsi="Cambria"/>
          <w:b/>
          <w:bCs/>
          <w:sz w:val="19"/>
          <w:szCs w:val="19"/>
        </w:rPr>
        <w:t xml:space="preserve">Tableau 4 — Temps mesurés (millisecondes, 40 itérations)</w:t>
      </w:r>
    </w:p>
    <w:tbl>
      <w:tblPr>
        <w:tblW w:type="dxa" w:w="9070"/>
        <w:tblBorders>
          <w:top w:val="single" w:color="AAB4C0" w:sz="3"/>
          <w:left w:val="single" w:color="AAB4C0" w:sz="3"/>
          <w:bottom w:val="single" w:color="AAB4C0" w:sz="3"/>
          <w:right w:val="single" w:color="AAB4C0" w:sz="3"/>
          <w:insideH w:val="single" w:color="AAB4C0" w:sz="3"/>
          <w:insideV w:val="single" w:color="AAB4C0" w:sz="3"/>
        </w:tblBorders>
      </w:tblPr>
      <w:tblGrid>
        <w:gridCol w:w="3628"/>
        <w:gridCol w:w="1361"/>
        <w:gridCol w:w="1361"/>
        <w:gridCol w:w="1361"/>
        <w:gridCol w:w="1359"/>
      </w:tblGrid>
      <w:tr>
        <w:trPr>
          <w:tblHeader/>
        </w:trPr>
        <w:tc>
          <w:tcPr>
            <w:tcW w:type="dxa" w:w="3628"/>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Étape</w:t>
            </w:r>
          </w:p>
        </w:tc>
        <w:tc>
          <w:tcPr>
            <w:tcW w:type="dxa" w:w="1361"/>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Moyenne</w:t>
            </w:r>
          </w:p>
        </w:tc>
        <w:tc>
          <w:tcPr>
            <w:tcW w:type="dxa" w:w="1361"/>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Écart-type</w:t>
            </w:r>
          </w:p>
        </w:tc>
        <w:tc>
          <w:tcPr>
            <w:tcW w:type="dxa" w:w="1361"/>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Médiane</w:t>
            </w:r>
          </w:p>
        </w:tc>
        <w:tc>
          <w:tcPr>
            <w:tcW w:type="dxa" w:w="1359"/>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p95</w:t>
            </w:r>
          </w:p>
        </w:tc>
      </w:tr>
      <w:tr>
        <w:tc>
          <w:tcPr>
            <w:tcW w:type="dxa" w:w="3628"/>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Émission du jeton et de l'engagement (AS)</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0,57</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0,63</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0,45</w:t>
            </w:r>
          </w:p>
        </w:tc>
        <w:tc>
          <w:tcPr>
            <w:tcW w:type="dxa" w:w="135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0,80</w:t>
            </w:r>
          </w:p>
        </w:tc>
      </w:tr>
      <w:tr>
        <w:tc>
          <w:tcPr>
            <w:tcW w:type="dxa" w:w="3628"/>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Assemblage du témoin (Merkle + exclusion SMT)</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47,17</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5,18</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46,32</w:t>
            </w:r>
          </w:p>
        </w:tc>
        <w:tc>
          <w:tcPr>
            <w:tcW w:type="dxa" w:w="135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54,56</w:t>
            </w:r>
          </w:p>
        </w:tc>
      </w:tr>
      <w:tr>
        <w:tc>
          <w:tcPr>
            <w:tcW w:type="dxa" w:w="3628"/>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  dont calcul du témoin (WebAssembly)</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130,16</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21,03</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121,97</w:t>
            </w:r>
          </w:p>
        </w:tc>
        <w:tc>
          <w:tcPr>
            <w:tcW w:type="dxa" w:w="135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172,50</w:t>
            </w:r>
          </w:p>
        </w:tc>
      </w:tr>
      <w:tr>
        <w:tc>
          <w:tcPr>
            <w:tcW w:type="dxa" w:w="3628"/>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  dont preuve Groth16 (MSM et FFT)</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1 619,17</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256,92</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1 531,94</w:t>
            </w:r>
          </w:p>
        </w:tc>
        <w:tc>
          <w:tcPr>
            <w:tcW w:type="dxa" w:w="135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1 916,30</w:t>
            </w:r>
          </w:p>
        </w:tc>
      </w:tr>
      <w:tr>
        <w:tc>
          <w:tcPr>
            <w:tcW w:type="dxa" w:w="3628"/>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Génération de la preuve (client, total)</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1 749,33</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264,67</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1 652,87</w:t>
            </w:r>
          </w:p>
        </w:tc>
        <w:tc>
          <w:tcPr>
            <w:tcW w:type="dxa" w:w="135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2 079,95</w:t>
            </w:r>
          </w:p>
        </w:tc>
      </w:tr>
      <w:tr>
        <w:tc>
          <w:tcPr>
            <w:tcW w:type="dxa" w:w="3628"/>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Vérification hors-chaîne (snarkjs)</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38,22</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28,27</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26,96</w:t>
            </w:r>
          </w:p>
        </w:tc>
        <w:tc>
          <w:tcPr>
            <w:tcW w:type="dxa" w:w="135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100,29</w:t>
            </w:r>
          </w:p>
        </w:tc>
      </w:tr>
      <w:tr>
        <w:tc>
          <w:tcPr>
            <w:tcW w:type="dxa" w:w="3628"/>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Vérification sur-chaîne (appel en lecture)</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43,80</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11,95</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41,03</w:t>
            </w:r>
          </w:p>
        </w:tc>
        <w:tc>
          <w:tcPr>
            <w:tcW w:type="dxa" w:w="135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57,13</w:t>
            </w:r>
          </w:p>
        </w:tc>
      </w:tr>
      <w:tr>
        <w:tc>
          <w:tcPr>
            <w:tcW w:type="dxa" w:w="3628"/>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Latence totale du flux (validation en lecture)</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1 840,31</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271,25</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1 738,22</w:t>
            </w:r>
          </w:p>
        </w:tc>
        <w:tc>
          <w:tcPr>
            <w:tcW w:type="dxa" w:w="135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2 237,47</w:t>
            </w:r>
          </w:p>
        </w:tc>
      </w:tr>
      <w:tr>
        <w:tc>
          <w:tcPr>
            <w:tcW w:type="dxa" w:w="3628"/>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Latence totale du flux (consommation on-chain)</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2 045,86</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276,17</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1 951,80</w:t>
            </w:r>
          </w:p>
        </w:tc>
        <w:tc>
          <w:tcPr>
            <w:tcW w:type="dxa" w:w="135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2 383,85</w:t>
            </w:r>
          </w:p>
        </w:tc>
      </w:tr>
    </w:tbl>
    <w:p>
      <w:pPr>
        <w:spacing w:after="120" w:before="0" w:line="276"/>
        <w:jc w:val="both"/>
      </w:pPr>
      <w:r>
        <w:rPr>
          <w:rFonts w:ascii="Cambria" w:cs="Cambria" w:eastAsia="Cambria" w:hAnsi="Cambria"/>
          <w:sz w:val="21"/>
          <w:szCs w:val="21"/>
        </w:rPr>
        <w:t xml:space="preserve">La génération de preuve domine largement : 1 749,33 ms en moyenne, soit 95,1 % de la latence totale. Sa décomposition est instructive : le calcul du témoin ne compte que pour 7 %, le reste étant consommé par les multi-exponentiations et les transformées de Fourier du prouveur Groth16. La vérification, elle, est peu coûteuse : 43,80 ms pour l'appel en lecture au contrat. Cette asymétrie est structurelle à Groth16 et oriente les optimisations vers le prouveur.</w:t>
      </w:r>
    </w:p>
    <w:p>
      <w:pPr>
        <w:pStyle w:val="Heading2"/>
        <w:spacing w:after="140" w:before="240"/>
      </w:pPr>
      <w:r>
        <w:rPr>
          <w:rFonts w:ascii="Cambria" w:cs="Cambria" w:eastAsia="Cambria" w:hAnsi="Cambria"/>
          <w:b/>
          <w:bCs/>
          <w:color w:val="1A1A1A"/>
          <w:sz w:val="24"/>
          <w:szCs w:val="24"/>
        </w:rPr>
        <w:t xml:space="preserve">7.3. Coût en gas</w:t>
      </w:r>
    </w:p>
    <w:p>
      <w:pPr>
        <w:spacing w:after="80" w:before="200"/>
        <w:jc w:val="left"/>
      </w:pPr>
      <w:r>
        <w:rPr>
          <w:rFonts w:ascii="Cambria" w:cs="Cambria" w:eastAsia="Cambria" w:hAnsi="Cambria"/>
          <w:b/>
          <w:bCs/>
          <w:sz w:val="19"/>
          <w:szCs w:val="19"/>
        </w:rPr>
        <w:t xml:space="preserve">Tableau 5 — Coût en gas sur l'EVM</w:t>
      </w:r>
    </w:p>
    <w:tbl>
      <w:tblPr>
        <w:tblW w:type="dxa" w:w="9070"/>
        <w:tblBorders>
          <w:top w:val="single" w:color="AAB4C0" w:sz="3"/>
          <w:left w:val="single" w:color="AAB4C0" w:sz="3"/>
          <w:bottom w:val="single" w:color="AAB4C0" w:sz="3"/>
          <w:right w:val="single" w:color="AAB4C0" w:sz="3"/>
          <w:insideH w:val="single" w:color="AAB4C0" w:sz="3"/>
          <w:insideV w:val="single" w:color="AAB4C0" w:sz="3"/>
        </w:tblBorders>
      </w:tblPr>
      <w:tblGrid>
        <w:gridCol w:w="4172"/>
        <w:gridCol w:w="1814"/>
        <w:gridCol w:w="3084"/>
      </w:tblGrid>
      <w:tr>
        <w:trPr>
          <w:tblHeader/>
        </w:trPr>
        <w:tc>
          <w:tcPr>
            <w:tcW w:type="dxa" w:w="4172"/>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Opération</w:t>
            </w:r>
          </w:p>
        </w:tc>
        <w:tc>
          <w:tcPr>
            <w:tcW w:type="dxa" w:w="1814"/>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Gas</w:t>
            </w:r>
          </w:p>
        </w:tc>
        <w:tc>
          <w:tcPr>
            <w:tcW w:type="dxa" w:w="3084"/>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Fréquence</w:t>
            </w:r>
          </w:p>
        </w:tc>
      </w:tr>
      <w:tr>
        <w:tc>
          <w:tcPr>
            <w:tcW w:type="dxa" w:w="417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Déploiement du vérificateur Groth16</w:t>
            </w:r>
          </w:p>
        </w:tc>
        <w:tc>
          <w:tcPr>
            <w:tcW w:type="dxa" w:w="1814"/>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486 118</w:t>
            </w:r>
          </w:p>
        </w:tc>
        <w:tc>
          <w:tcPr>
            <w:tcW w:type="dxa" w:w="308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une fois</w:t>
            </w:r>
          </w:p>
        </w:tc>
      </w:tr>
      <w:tr>
        <w:tc>
          <w:tcPr>
            <w:tcW w:type="dxa" w:w="417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Déploiement de ZKAuthRegistry</w:t>
            </w:r>
          </w:p>
        </w:tc>
        <w:tc>
          <w:tcPr>
            <w:tcW w:type="dxa" w:w="1814"/>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912 338</w:t>
            </w:r>
          </w:p>
        </w:tc>
        <w:tc>
          <w:tcPr>
            <w:tcW w:type="dxa" w:w="308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une fois</w:t>
            </w:r>
          </w:p>
        </w:tc>
      </w:tr>
      <w:tr>
        <w:tc>
          <w:tcPr>
            <w:tcW w:type="dxa" w:w="417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Enregistrement d'un Serveur de Ressource</w:t>
            </w:r>
          </w:p>
        </w:tc>
        <w:tc>
          <w:tcPr>
            <w:tcW w:type="dxa" w:w="1814"/>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68 086</w:t>
            </w:r>
          </w:p>
        </w:tc>
        <w:tc>
          <w:tcPr>
            <w:tcW w:type="dxa" w:w="308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une fois par RP</w:t>
            </w:r>
          </w:p>
        </w:tc>
      </w:tr>
      <w:tr>
        <w:tc>
          <w:tcPr>
            <w:tcW w:type="dxa" w:w="417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Ancrage des racines par l'AS</w:t>
            </w:r>
          </w:p>
        </w:tc>
        <w:tc>
          <w:tcPr>
            <w:tcW w:type="dxa" w:w="1814"/>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41 321</w:t>
            </w:r>
          </w:p>
        </w:tc>
        <w:tc>
          <w:tcPr>
            <w:tcW w:type="dxa" w:w="308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par époque, amorti sur tous les jetons</w:t>
            </w:r>
          </w:p>
        </w:tc>
      </w:tr>
      <w:tr>
        <w:tc>
          <w:tcPr>
            <w:tcW w:type="dxa" w:w="4172"/>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Vérification de la preuve seule</w:t>
            </w:r>
          </w:p>
        </w:tc>
        <w:tc>
          <w:tcPr>
            <w:tcW w:type="dxa" w:w="1814"/>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238 785</w:t>
            </w:r>
          </w:p>
        </w:tc>
        <w:tc>
          <w:tcPr>
            <w:tcW w:type="dxa" w:w="308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par autorisation</w:t>
            </w:r>
          </w:p>
        </w:tc>
      </w:tr>
      <w:tr>
        <w:tc>
          <w:tcPr>
            <w:tcW w:type="dxa" w:w="4172"/>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Autorisation complète</w:t>
            </w:r>
          </w:p>
        </w:tc>
        <w:tc>
          <w:tcPr>
            <w:tcW w:type="dxa" w:w="1814"/>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348 917</w:t>
            </w:r>
          </w:p>
        </w:tc>
        <w:tc>
          <w:tcPr>
            <w:tcW w:type="dxa" w:w="308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par autorisation</w:t>
            </w:r>
          </w:p>
        </w:tc>
      </w:tr>
      <w:tr>
        <w:tc>
          <w:tcPr>
            <w:tcW w:type="dxa" w:w="417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Surcoût d'état (écritures + journal)</w:t>
            </w:r>
          </w:p>
        </w:tc>
        <w:tc>
          <w:tcPr>
            <w:tcW w:type="dxa" w:w="1814"/>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110 132</w:t>
            </w:r>
          </w:p>
        </w:tc>
        <w:tc>
          <w:tcPr>
            <w:tcW w:type="dxa" w:w="3084"/>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par autorisation</w:t>
            </w:r>
          </w:p>
        </w:tc>
      </w:tr>
    </w:tbl>
    <w:p>
      <w:pPr>
        <w:spacing w:after="120" w:before="0" w:line="276"/>
        <w:jc w:val="both"/>
      </w:pPr>
      <w:r>
        <w:rPr>
          <w:rFonts w:ascii="Cambria" w:cs="Cambria" w:eastAsia="Cambria" w:hAnsi="Cambria"/>
          <w:sz w:val="21"/>
          <w:szCs w:val="21"/>
        </w:rPr>
        <w:t xml:space="preserve">Le coût de vérification de la preuve est rigoureusement constant sur l'ensemble des itérations — 238 785 gas, sans dispersion — ce qui confirme expérimentalement la propriété de taille constante de Groth16 : le coût est indépendant du nombre de jetons émis comme du nombre de révocations. Une autorisation complète revient à 348 917 gas, soit environ 0,0070 ETH à 20 gwei.</w:t>
      </w:r>
    </w:p>
    <w:p>
      <w:pPr>
        <w:spacing w:after="120" w:before="0" w:line="276"/>
        <w:jc w:val="both"/>
      </w:pPr>
      <w:r>
        <w:rPr>
          <w:rFonts w:ascii="Cambria" w:cs="Cambria" w:eastAsia="Cambria" w:hAnsi="Cambria"/>
          <w:sz w:val="21"/>
          <w:szCs w:val="21"/>
        </w:rPr>
        <w:t xml:space="preserve">Il convient de noter que le Serveur de Ressource peut valider une autorisation par un simple appel en lecture, sans transaction ni gas. La consommation on-chain du nullifieur n'est nécessaire que lorsque l'anti-rejeu doit être opposable à l'ensemble du réseau.</w:t>
      </w:r>
    </w:p>
    <w:p>
      <w:pPr>
        <w:pStyle w:val="Heading2"/>
        <w:spacing w:after="140" w:before="240"/>
      </w:pPr>
      <w:r>
        <w:rPr>
          <w:rFonts w:ascii="Cambria" w:cs="Cambria" w:eastAsia="Cambria" w:hAnsi="Cambria"/>
          <w:b/>
          <w:bCs/>
          <w:color w:val="1A1A1A"/>
          <w:sz w:val="24"/>
          <w:szCs w:val="24"/>
        </w:rPr>
        <w:t xml:space="preserve">7.4. Comparaison avec un flux OAuth 2.0 classique</w:t>
      </w:r>
    </w:p>
    <w:p>
      <w:pPr>
        <w:spacing w:after="120" w:before="0" w:line="276"/>
        <w:jc w:val="both"/>
      </w:pPr>
      <w:r>
        <w:rPr>
          <w:rFonts w:ascii="Cambria" w:cs="Cambria" w:eastAsia="Cambria" w:hAnsi="Cambria"/>
          <w:sz w:val="21"/>
          <w:szCs w:val="21"/>
        </w:rPr>
        <w:t xml:space="preserve">Pour disposer d'un point de comparaison rigoureux, nous avons implémenté un flux OAuth 2.0 complet conforme au RFC 6749 : code d'autorisation avec PKCE (RFC 7636) [15], puis accès à la ressource protégée selon deux modes de validation. Le premier repose sur un jeton opaque et l'introspection centralisée (RFC 7662) [16], qui matérialise la dépendance au serveur d'autorisation. Le second emploie un JWT RS256 auto-porteur vérifié localement par le Serveur de Ressource : c'est la variante OAuth la plus rapide, donc la plus défavorable à ZK-OAuthChain. Les deux architectures sont mesurées sur boucle locale : aucune latence de réseau étendu n'est incluse, de part et d'autre.</w:t>
      </w:r>
    </w:p>
    <w:p>
      <w:pPr>
        <w:spacing w:after="80" w:before="200"/>
        <w:jc w:val="left"/>
      </w:pPr>
      <w:r>
        <w:rPr>
          <w:rFonts w:ascii="Cambria" w:cs="Cambria" w:eastAsia="Cambria" w:hAnsi="Cambria"/>
          <w:b/>
          <w:bCs/>
          <w:sz w:val="19"/>
          <w:szCs w:val="19"/>
        </w:rPr>
        <w:t xml:space="preserve">Tableau 6 — Latence totale du flux d'autorisation</w:t>
      </w:r>
    </w:p>
    <w:tbl>
      <w:tblPr>
        <w:tblW w:type="dxa" w:w="9070"/>
        <w:tblBorders>
          <w:top w:val="single" w:color="AAB4C0" w:sz="3"/>
          <w:left w:val="single" w:color="AAB4C0" w:sz="3"/>
          <w:bottom w:val="single" w:color="AAB4C0" w:sz="3"/>
          <w:right w:val="single" w:color="AAB4C0" w:sz="3"/>
          <w:insideH w:val="single" w:color="AAB4C0" w:sz="3"/>
          <w:insideV w:val="single" w:color="AAB4C0" w:sz="3"/>
        </w:tblBorders>
      </w:tblPr>
      <w:tblGrid>
        <w:gridCol w:w="1542"/>
        <w:gridCol w:w="2721"/>
        <w:gridCol w:w="1361"/>
        <w:gridCol w:w="1179"/>
        <w:gridCol w:w="1179"/>
        <w:gridCol w:w="1088"/>
      </w:tblGrid>
      <w:tr>
        <w:trPr>
          <w:tblHeader/>
        </w:trPr>
        <w:tc>
          <w:tcPr>
            <w:tcW w:type="dxa" w:w="1542"/>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Architecture</w:t>
            </w:r>
          </w:p>
        </w:tc>
        <w:tc>
          <w:tcPr>
            <w:tcW w:type="dxa" w:w="2721"/>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Mode de validation</w:t>
            </w:r>
          </w:p>
        </w:tc>
        <w:tc>
          <w:tcPr>
            <w:tcW w:type="dxa" w:w="1361"/>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Moyenne</w:t>
            </w:r>
          </w:p>
        </w:tc>
        <w:tc>
          <w:tcPr>
            <w:tcW w:type="dxa" w:w="1179"/>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Médiane</w:t>
            </w:r>
          </w:p>
        </w:tc>
        <w:tc>
          <w:tcPr>
            <w:tcW w:type="dxa" w:w="1179"/>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p95</w:t>
            </w:r>
          </w:p>
        </w:tc>
        <w:tc>
          <w:tcPr>
            <w:tcW w:type="dxa" w:w="1088"/>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Rapport</w:t>
            </w:r>
          </w:p>
        </w:tc>
      </w:tr>
      <w:tr>
        <w:tc>
          <w:tcPr>
            <w:tcW w:type="dxa" w:w="154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OAuth 2.0</w:t>
            </w:r>
          </w:p>
        </w:tc>
        <w:tc>
          <w:tcPr>
            <w:tcW w:type="dxa" w:w="272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jeton opaque + introspection</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4,81 ms</w:t>
            </w:r>
          </w:p>
        </w:tc>
        <w:tc>
          <w:tcPr>
            <w:tcW w:type="dxa" w:w="117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4,00 ms</w:t>
            </w:r>
          </w:p>
        </w:tc>
        <w:tc>
          <w:tcPr>
            <w:tcW w:type="dxa" w:w="117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7,57 ms</w:t>
            </w:r>
          </w:p>
        </w:tc>
        <w:tc>
          <w:tcPr>
            <w:tcW w:type="dxa" w:w="108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1,00×</w:t>
            </w:r>
          </w:p>
        </w:tc>
      </w:tr>
      <w:tr>
        <w:tc>
          <w:tcPr>
            <w:tcW w:type="dxa" w:w="154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OAuth 2.0</w:t>
            </w:r>
          </w:p>
        </w:tc>
        <w:tc>
          <w:tcPr>
            <w:tcW w:type="dxa" w:w="272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JWT RS256 auto-porteur</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3,58 ms</w:t>
            </w:r>
          </w:p>
        </w:tc>
        <w:tc>
          <w:tcPr>
            <w:tcW w:type="dxa" w:w="117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3,33 ms</w:t>
            </w:r>
          </w:p>
        </w:tc>
        <w:tc>
          <w:tcPr>
            <w:tcW w:type="dxa" w:w="117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6,08 ms</w:t>
            </w:r>
          </w:p>
        </w:tc>
        <w:tc>
          <w:tcPr>
            <w:tcW w:type="dxa" w:w="108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0,74×</w:t>
            </w:r>
          </w:p>
        </w:tc>
      </w:tr>
      <w:tr>
        <w:tc>
          <w:tcPr>
            <w:tcW w:type="dxa" w:w="1542"/>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ZK-OAuthChain</w:t>
            </w:r>
          </w:p>
        </w:tc>
        <w:tc>
          <w:tcPr>
            <w:tcW w:type="dxa" w:w="272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preuve ZK + vérification en lecture</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1 840,31 ms</w:t>
            </w:r>
          </w:p>
        </w:tc>
        <w:tc>
          <w:tcPr>
            <w:tcW w:type="dxa" w:w="117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1 738,22 ms</w:t>
            </w:r>
          </w:p>
        </w:tc>
        <w:tc>
          <w:tcPr>
            <w:tcW w:type="dxa" w:w="117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2 237,47 ms</w:t>
            </w:r>
          </w:p>
        </w:tc>
        <w:tc>
          <w:tcPr>
            <w:tcW w:type="dxa" w:w="1088"/>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383×</w:t>
            </w:r>
          </w:p>
        </w:tc>
      </w:tr>
      <w:tr>
        <w:tc>
          <w:tcPr>
            <w:tcW w:type="dxa" w:w="1542"/>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ZK-OAuthChain</w:t>
            </w:r>
          </w:p>
        </w:tc>
        <w:tc>
          <w:tcPr>
            <w:tcW w:type="dxa" w:w="272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preuve ZK + consommation on-chain</w:t>
            </w:r>
          </w:p>
        </w:tc>
        <w:tc>
          <w:tcPr>
            <w:tcW w:type="dxa" w:w="1361"/>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2 045,86 ms</w:t>
            </w:r>
          </w:p>
        </w:tc>
        <w:tc>
          <w:tcPr>
            <w:tcW w:type="dxa" w:w="117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1 951,80 ms</w:t>
            </w:r>
          </w:p>
        </w:tc>
        <w:tc>
          <w:tcPr>
            <w:tcW w:type="dxa" w:w="1179"/>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2 383,85 ms</w:t>
            </w:r>
          </w:p>
        </w:tc>
        <w:tc>
          <w:tcPr>
            <w:tcW w:type="dxa" w:w="108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425×</w:t>
            </w:r>
          </w:p>
        </w:tc>
      </w:tr>
    </w:tbl>
    <w:p>
      <w:pPr>
        <w:spacing w:after="120" w:before="0" w:line="276"/>
        <w:jc w:val="both"/>
      </w:pPr>
      <w:r>
        <w:rPr>
          <w:rFonts w:ascii="Cambria" w:cs="Cambria" w:eastAsia="Cambria" w:hAnsi="Cambria"/>
          <w:sz w:val="21"/>
          <w:szCs w:val="21"/>
        </w:rPr>
        <w:t xml:space="preserve">ZK-OAuthChain est environ 383 fois plus lent qu'un flux OAuth 2.0 classique sur le flux complet. Ce rapport, brut, doit cependant être décomposé pour être interprété correctement.</w:t>
      </w:r>
    </w:p>
    <w:p>
      <w:pPr>
        <w:spacing w:after="120" w:before="0" w:line="276"/>
        <w:jc w:val="both"/>
      </w:pPr>
      <w:r>
        <w:rPr>
          <w:rFonts w:ascii="Cambria" w:cs="Cambria" w:eastAsia="Cambria" w:hAnsi="Cambria"/>
          <w:sz w:val="21"/>
          <w:szCs w:val="21"/>
        </w:rPr>
        <w:t xml:space="preserve">D'abord, il est presque entièrement imputable à la génération de preuve, qui compte pour 95,1 % du temps total. Comparée à périmètre équivalent, l'étape de validation proprement dite coûte 43,80 ms contre 2,10 ms pour une introspection OAuth, soit un rapport de 21× — environ 18 fois plus faible que le rapport observé sur le flux complet.</w:t>
      </w:r>
    </w:p>
    <w:p>
      <w:pPr>
        <w:spacing w:after="120" w:before="0" w:line="276"/>
        <w:jc w:val="both"/>
      </w:pPr>
      <w:r>
        <w:rPr>
          <w:rFonts w:ascii="Cambria" w:cs="Cambria" w:eastAsia="Cambria" w:hAnsi="Cambria"/>
          <w:sz w:val="21"/>
          <w:szCs w:val="21"/>
        </w:rPr>
        <w:t xml:space="preserve">Ensuite, la preuve est produite une fois par autorisation et par le client, non par l'infrastructure : elle ne consomme ni ressource serveur ni capacité de traitement mutualisée, contrairement à l'introspection, qui sollicite le serveur d'autorisation à chaque validation et constitue précisément le goulot d'étranglement et le point de défaillance que l'architecture vise à supprimer.</w:t>
      </w:r>
    </w:p>
    <w:p>
      <w:pPr>
        <w:spacing w:after="120" w:before="0" w:line="276"/>
        <w:jc w:val="both"/>
      </w:pPr>
      <w:r>
        <w:rPr>
          <w:rFonts w:ascii="Cambria" w:cs="Cambria" w:eastAsia="Cambria" w:hAnsi="Cambria"/>
          <w:sz w:val="21"/>
          <w:szCs w:val="21"/>
        </w:rPr>
        <w:t xml:space="preserve">Enfin, la comparaison ne porte pas sur des services fonctionnellement identiques. OAuth 2.0 ne fournit ni décentralisation, ni confidentialité vis-à-vis du valideur, ni auditabilité publique, ni liaison de contexte opposable. La section suivante montre en outre que l'essentiel de l'écart mesuré tient à l'outillage de preuve, et non à la conception du protocole.</w:t>
      </w:r>
    </w:p>
    <w:p>
      <w:pPr>
        <w:pStyle w:val="Heading2"/>
        <w:spacing w:after="140" w:before="240"/>
      </w:pPr>
      <w:r>
        <w:rPr>
          <w:rFonts w:ascii="Cambria" w:cs="Cambria" w:eastAsia="Cambria" w:hAnsi="Cambria"/>
          <w:b/>
          <w:bCs/>
          <w:color w:val="1A1A1A"/>
          <w:sz w:val="24"/>
          <w:szCs w:val="24"/>
        </w:rPr>
        <w:t xml:space="preserve">7.5. Positionnement face à l'état de l'art 2025-2026</w:t>
      </w:r>
    </w:p>
    <w:p>
      <w:pPr>
        <w:spacing w:after="80" w:before="200"/>
        <w:jc w:val="left"/>
      </w:pPr>
      <w:r>
        <w:rPr>
          <w:rFonts w:ascii="Cambria" w:cs="Cambria" w:eastAsia="Cambria" w:hAnsi="Cambria"/>
          <w:b/>
          <w:bCs/>
          <w:sz w:val="19"/>
          <w:szCs w:val="19"/>
        </w:rPr>
        <w:t xml:space="preserve">Tableau 7 — Comparaison avec les travaux les plus proches</w:t>
      </w:r>
    </w:p>
    <w:tbl>
      <w:tblPr>
        <w:tblW w:type="dxa" w:w="9070"/>
        <w:tblBorders>
          <w:top w:val="single" w:color="AAB4C0" w:sz="3"/>
          <w:left w:val="single" w:color="AAB4C0" w:sz="3"/>
          <w:bottom w:val="single" w:color="AAB4C0" w:sz="3"/>
          <w:right w:val="single" w:color="AAB4C0" w:sz="3"/>
          <w:insideH w:val="single" w:color="AAB4C0" w:sz="3"/>
          <w:insideV w:val="single" w:color="AAB4C0" w:sz="3"/>
        </w:tblBorders>
      </w:tblPr>
      <w:tblGrid>
        <w:gridCol w:w="1361"/>
        <w:gridCol w:w="1451"/>
        <w:gridCol w:w="1361"/>
        <w:gridCol w:w="907"/>
        <w:gridCol w:w="998"/>
        <w:gridCol w:w="907"/>
        <w:gridCol w:w="907"/>
        <w:gridCol w:w="1178"/>
      </w:tblGrid>
      <w:tr>
        <w:trPr>
          <w:tblHeader/>
        </w:trPr>
        <w:tc>
          <w:tcPr>
            <w:tcW w:type="dxa" w:w="1361"/>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Travail</w:t>
            </w:r>
          </w:p>
        </w:tc>
        <w:tc>
          <w:tcPr>
            <w:tcW w:type="dxa" w:w="1451"/>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Système (setup)</w:t>
            </w:r>
          </w:p>
        </w:tc>
        <w:tc>
          <w:tcPr>
            <w:tcW w:type="dxa" w:w="1361"/>
            <w:shd w:fill="E8EDF3"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Outillage</w:t>
            </w:r>
          </w:p>
        </w:tc>
        <w:tc>
          <w:tcPr>
            <w:tcW w:type="dxa" w:w="907"/>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Contraintes</w:t>
            </w:r>
          </w:p>
        </w:tc>
        <w:tc>
          <w:tcPr>
            <w:tcW w:type="dxa" w:w="998"/>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Preuve</w:t>
            </w:r>
          </w:p>
        </w:tc>
        <w:tc>
          <w:tcPr>
            <w:tcW w:type="dxa" w:w="907"/>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Vérif.</w:t>
            </w:r>
          </w:p>
        </w:tc>
        <w:tc>
          <w:tcPr>
            <w:tcW w:type="dxa" w:w="907"/>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Taille</w:t>
            </w:r>
          </w:p>
        </w:tc>
        <w:tc>
          <w:tcPr>
            <w:tcW w:type="dxa" w:w="1178"/>
            <w:shd w:fill="E8EDF3"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Gas vérif.</w:t>
            </w:r>
          </w:p>
        </w:tc>
      </w:tr>
      <w:tr>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zkAt (Groth16)</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Groth16 — setup par circuit</w:t>
            </w:r>
          </w:p>
        </w:tc>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Go / gnark (natif)</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24 564</w:t>
            </w:r>
          </w:p>
        </w:tc>
        <w:tc>
          <w:tcPr>
            <w:tcW w:type="dxa" w:w="99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50,97 ms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0,89 ms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256 o*</w:t>
            </w:r>
          </w:p>
        </w:tc>
        <w:tc>
          <w:tcPr>
            <w:tcW w:type="dxa" w:w="117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n. r.</w:t>
            </w:r>
          </w:p>
        </w:tc>
      </w:tr>
      <w:tr>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ZK-ACE (Groth16)</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Groth16 — setup par circuit</w:t>
            </w:r>
          </w:p>
        </w:tc>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Rust / arkworks (natif, mono-fil)</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4 024</w:t>
            </w:r>
          </w:p>
        </w:tc>
        <w:tc>
          <w:tcPr>
            <w:tcW w:type="dxa" w:w="99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63,00 ms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0,65 ms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256 o*</w:t>
            </w:r>
          </w:p>
        </w:tc>
        <w:tc>
          <w:tcPr>
            <w:tcW w:type="dxa" w:w="117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n. r.</w:t>
            </w:r>
          </w:p>
        </w:tc>
      </w:tr>
      <w:tr>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Cadre DID/VC (zk-STARK)</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zk-STARK — transparent, aucun setup</w:t>
            </w:r>
          </w:p>
        </w:tc>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Cairo / chaine StarkWare</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n. r.</w:t>
            </w:r>
          </w:p>
        </w:tc>
        <w:tc>
          <w:tcPr>
            <w:tcW w:type="dxa" w:w="99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3,50 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5,00 ms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45 Ko</w:t>
            </w:r>
          </w:p>
        </w:tc>
        <w:tc>
          <w:tcPr>
            <w:tcW w:type="dxa" w:w="117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280 000</w:t>
            </w:r>
          </w:p>
        </w:tc>
      </w:tr>
      <w:tr>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LinkDID (zk-SNARK)</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zk-SNARK — setup requis</w:t>
            </w:r>
          </w:p>
        </w:tc>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sz w:val="17"/>
                <w:szCs w:val="17"/>
              </w:rPr>
              <w:t xml:space="preserve">non precise</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n. r.</w:t>
            </w:r>
          </w:p>
        </w:tc>
        <w:tc>
          <w:tcPr>
            <w:tcW w:type="dxa" w:w="99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5,00 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3,00 ms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1 Ko</w:t>
            </w:r>
          </w:p>
        </w:tc>
        <w:tc>
          <w:tcPr>
            <w:tcW w:type="dxa" w:w="1178"/>
            <w:shd w:fill="FFFFFF" w:color="auto" w:val="clear"/>
            <w:tcMar>
              <w:top w:type="dxa" w:w="70"/>
              <w:left w:type="dxa" w:w="110"/>
              <w:bottom w:type="dxa" w:w="70"/>
              <w:right w:type="dxa" w:w="110"/>
            </w:tcMar>
          </w:tcPr>
          <w:p>
            <w:pPr>
              <w:spacing w:after="0" w:line="240"/>
              <w:jc w:val="right"/>
            </w:pPr>
            <w:r>
              <w:rPr>
                <w:rFonts w:ascii="Cambria" w:cs="Cambria" w:eastAsia="Cambria" w:hAnsi="Cambria"/>
                <w:sz w:val="17"/>
                <w:szCs w:val="17"/>
              </w:rPr>
              <w:t xml:space="preserve">210 000</w:t>
            </w:r>
          </w:p>
        </w:tc>
      </w:tr>
      <w:tr>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ZK-OAuthChain</w:t>
            </w:r>
          </w:p>
        </w:tc>
        <w:tc>
          <w:tcPr>
            <w:tcW w:type="dxa" w:w="1451"/>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Groth16 — setup par circuit</w:t>
            </w:r>
          </w:p>
        </w:tc>
        <w:tc>
          <w:tcPr>
            <w:tcW w:type="dxa" w:w="1361"/>
            <w:shd w:fill="FFFFFF" w:color="auto" w:val="clear"/>
            <w:tcMar>
              <w:top w:type="dxa" w:w="70"/>
              <w:left w:type="dxa" w:w="110"/>
              <w:bottom w:type="dxa" w:w="70"/>
              <w:right w:type="dxa" w:w="110"/>
            </w:tcMar>
          </w:tcPr>
          <w:p>
            <w:pPr>
              <w:spacing w:after="0" w:line="240"/>
              <w:jc w:val="left"/>
            </w:pPr>
            <w:r>
              <w:rPr>
                <w:rFonts w:ascii="Cambria" w:cs="Cambria" w:eastAsia="Cambria" w:hAnsi="Cambria"/>
                <w:b/>
                <w:bCs/>
                <w:sz w:val="17"/>
                <w:szCs w:val="17"/>
              </w:rPr>
              <w:t xml:space="preserve">JS / snarkjs (WASM)</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25 383</w:t>
            </w:r>
          </w:p>
        </w:tc>
        <w:tc>
          <w:tcPr>
            <w:tcW w:type="dxa" w:w="998"/>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1,53 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26,96 ms</w:t>
            </w:r>
          </w:p>
        </w:tc>
        <w:tc>
          <w:tcPr>
            <w:tcW w:type="dxa" w:w="907"/>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256 o</w:t>
            </w:r>
          </w:p>
        </w:tc>
        <w:tc>
          <w:tcPr>
            <w:tcW w:type="dxa" w:w="1178"/>
            <w:shd w:fill="FFFFFF" w:color="auto" w:val="clear"/>
            <w:tcMar>
              <w:top w:type="dxa" w:w="70"/>
              <w:left w:type="dxa" w:w="110"/>
              <w:bottom w:type="dxa" w:w="70"/>
              <w:right w:type="dxa" w:w="110"/>
            </w:tcMar>
          </w:tcPr>
          <w:p>
            <w:pPr>
              <w:spacing w:after="0" w:line="240"/>
              <w:jc w:val="right"/>
            </w:pPr>
            <w:r>
              <w:rPr>
                <w:rFonts w:ascii="Cambria" w:cs="Cambria" w:eastAsia="Cambria" w:hAnsi="Cambria"/>
                <w:b/>
                <w:bCs/>
                <w:sz w:val="17"/>
                <w:szCs w:val="17"/>
              </w:rPr>
              <w:t xml:space="preserve">238 785</w:t>
            </w:r>
          </w:p>
        </w:tc>
      </w:tr>
    </w:tbl>
    <w:p>
      <w:pPr>
        <w:spacing w:after="220" w:before="40"/>
        <w:jc w:val="both"/>
      </w:pPr>
      <w:r>
        <w:rPr>
          <w:rFonts w:ascii="Cambria" w:cs="Cambria" w:eastAsia="Cambria" w:hAnsi="Cambria"/>
          <w:i/>
          <w:iCs/>
          <w:color w:val="444444"/>
          <w:sz w:val="18"/>
          <w:szCs w:val="18"/>
        </w:rPr>
        <w:t xml:space="preserve">n. r. : non rapporté par les auteurs. * : taille non rapportée, valeur structurelle de Groth16 sur BN254. Les temps sont des médianes, mesurés hors-chaîne de part et d'autre. Les matériels diffèrent — Apple M3 Pro pour zkAt et ZK-ACE — de même que les fonctionnalités des circuits : toute comparaison des temps absolus serait trompeuse.</w:t>
      </w:r>
    </w:p>
    <w:p>
      <w:pPr>
        <w:spacing w:after="120" w:before="0" w:line="276"/>
        <w:jc w:val="both"/>
      </w:pPr>
      <w:r>
        <w:rPr>
          <w:rFonts w:ascii="Cambria" w:cs="Cambria" w:eastAsia="Cambria" w:hAnsi="Cambria"/>
          <w:b/>
          <w:bCs/>
          <w:sz w:val="21"/>
          <w:szCs w:val="21"/>
        </w:rPr>
        <w:t xml:space="preserve">À taille de circuit quasi identique, l'écart est imputable à l'outillage. </w:t>
      </w:r>
      <w:r>
        <w:rPr>
          <w:rFonts w:ascii="Cambria" w:cs="Cambria" w:eastAsia="Cambria" w:hAnsi="Cambria"/>
          <w:sz w:val="21"/>
          <w:szCs w:val="21"/>
        </w:rPr>
        <w:t xml:space="preserve">zkAt compte 24 564 contraintes contre 25 383 ici, soit une différence de 3 %. Le rapport des temps de preuve est pourtant de 30× (1,53 s contre 50,97 ms). Cet écart mesure la distance entre un prouveur natif (Go/gnark) et un prouveur WebAssembly (snarkjs) : il ne reflète pas une différence de conception du protocole. Porter le prouveur sur une implémentation native ramènerait la latence du flux dans l'ordre de grandeur de la centaine de millisecondes, sans modifier ni le circuit, ni le contrat, ni les coûts en gas rapportés ici.</w:t>
      </w:r>
    </w:p>
    <w:p>
      <w:pPr>
        <w:spacing w:after="120" w:before="0" w:line="276"/>
        <w:jc w:val="both"/>
      </w:pPr>
      <w:r>
        <w:rPr>
          <w:rFonts w:ascii="Cambria" w:cs="Cambria" w:eastAsia="Cambria" w:hAnsi="Cambria"/>
          <w:b/>
          <w:bCs/>
          <w:sz w:val="21"/>
          <w:szCs w:val="21"/>
        </w:rPr>
        <w:t xml:space="preserve">Le coût on-chain se situe dans la fourchette de l'état de l'art. </w:t>
      </w:r>
      <w:r>
        <w:rPr>
          <w:rFonts w:ascii="Cambria" w:cs="Cambria" w:eastAsia="Cambria" w:hAnsi="Cambria"/>
          <w:sz w:val="21"/>
          <w:szCs w:val="21"/>
        </w:rPr>
        <w:t xml:space="preserve">La vérification d'une preuve coûte ici 238 785 gas, contre 210 000 pour LinkDID (zk-SNARK) et 280 000 pour le cadre zk-STARK de Hui Yuan (2025) [17]. L'ancrage des racines coûte 41 321 gas, contre 45 000 pour la mise à jour de l'accumulateur de révocation de ce même cadre. Ces trois systèmes ne calculent pas la même chose, et l'écart entre eux n'est donc pas imputable à une cause unique ; l'ordre de grandeur, lui, est le même. Le coût propre de la liaison de contexte se mesure en revanche sans ambiguïté par comparaison interne : sur une version antérieure du même circuit, dépourvue de liaison et n'exposant que 4 signaux publics, la vérification coûtait 212 256 gas, soit 26 529 gas de moins. C'est le prix explicite de la propriété de sécurité gagnée.</w:t>
      </w:r>
    </w:p>
    <w:p>
      <w:pPr>
        <w:spacing w:after="120" w:before="0" w:line="276"/>
        <w:jc w:val="both"/>
      </w:pPr>
      <w:r>
        <w:rPr>
          <w:rFonts w:ascii="Cambria" w:cs="Cambria" w:eastAsia="Cambria" w:hAnsi="Cambria"/>
          <w:b/>
          <w:bCs/>
          <w:sz w:val="21"/>
          <w:szCs w:val="21"/>
        </w:rPr>
        <w:t xml:space="preserve">La taille de preuve reste l'avantage décisif de Groth16. </w:t>
      </w:r>
      <w:r>
        <w:rPr>
          <w:rFonts w:ascii="Cambria" w:cs="Cambria" w:eastAsia="Cambria" w:hAnsi="Cambria"/>
          <w:sz w:val="21"/>
          <w:szCs w:val="21"/>
        </w:rPr>
        <w:t xml:space="preserve">256 octets contre 45 Ko pour zk-STARK, soit un facteur 180, au prix d'un setup de confiance spécifique au circuit. ZK-ACE (4 024 contraintes, 63,00 ms) n'est en revanche pas directement comparable : son circuit ne comporte ni appartenance de Merkle ni preuve d'exclusion, d'où un facteur 6,3 sur le nombre de contraintes.</w:t>
      </w:r>
    </w:p>
    <w:p>
      <w:r>
        <w:br w:type="page"/>
      </w:r>
    </w:p>
    <w:p>
      <w:pPr>
        <w:pStyle w:val="Heading1"/>
        <w:spacing w:after="140" w:before="360"/>
      </w:pPr>
      <w:r>
        <w:rPr>
          <w:rFonts w:ascii="Cambria" w:cs="Cambria" w:eastAsia="Cambria" w:hAnsi="Cambria"/>
          <w:b/>
          <w:bCs/>
          <w:color w:val="1A1A1A"/>
          <w:sz w:val="28"/>
          <w:szCs w:val="28"/>
        </w:rPr>
        <w:t xml:space="preserve">8. Discussion</w:t>
      </w:r>
    </w:p>
    <w:p>
      <w:pPr>
        <w:spacing w:after="120" w:before="0" w:line="276"/>
        <w:jc w:val="both"/>
      </w:pPr>
      <w:r>
        <w:rPr>
          <w:rFonts w:ascii="Cambria" w:cs="Cambria" w:eastAsia="Cambria" w:hAnsi="Cambria"/>
          <w:sz w:val="21"/>
          <w:szCs w:val="21"/>
        </w:rPr>
        <w:t xml:space="preserve">Les résultats précédents valident la faisabilité technique de ZK-OAuthChain : le circuit compile et produit des preuves succinctes, le contrat les vérifie à coût constant, la liaison de contexte est imposée au niveau du protocole, et les invariants de sécurité sont établis par deux chaînes de vérification indépendantes. Plusieurs limites, connues et assumées, délimitent la portée de ces résultats.</w:t>
      </w:r>
    </w:p>
    <w:p>
      <w:pPr>
        <w:pStyle w:val="Heading2"/>
        <w:spacing w:after="140" w:before="240"/>
      </w:pPr>
      <w:r>
        <w:rPr>
          <w:rFonts w:ascii="Cambria" w:cs="Cambria" w:eastAsia="Cambria" w:hAnsi="Cambria"/>
          <w:b/>
          <w:bCs/>
          <w:color w:val="1A1A1A"/>
          <w:sz w:val="24"/>
          <w:szCs w:val="24"/>
        </w:rPr>
        <w:t xml:space="preserve">8.1. Le Serveur d'Autorisation voit encore le jeton</w:t>
      </w:r>
    </w:p>
    <w:p>
      <w:pPr>
        <w:spacing w:after="120" w:before="0" w:line="276"/>
        <w:jc w:val="both"/>
      </w:pPr>
      <w:r>
        <w:rPr>
          <w:rFonts w:ascii="Cambria" w:cs="Cambria" w:eastAsia="Cambria" w:hAnsi="Cambria"/>
          <w:sz w:val="21"/>
          <w:szCs w:val="21"/>
        </w:rPr>
        <w:t xml:space="preserve">Dans l'architecture présentée, l'AS émet le jeton et calcule l'engagement : il connaît donc le secret que la preuve protège, ce que formalise l'hypothèse d'honnêteté de la Section 4.1. La confidentialité obtenue est réelle vis-à-vis de la chaîne, du Serveur de Ressource et de tout observateur, mais non vis-à-vis de l'AS. La suppression du SPOF porte sur la disponibilité et sur la validation — l'AS n'est plus sollicité à chaque accès — et non sur la connaissance du secret. Lever cette hypothèse suppose que le porteur contribue au secret sans le révéler à l'émetteur ; c'est l'objet d'un travail complémentaire.</w:t>
      </w:r>
    </w:p>
    <w:p>
      <w:pPr>
        <w:pStyle w:val="Heading2"/>
        <w:spacing w:after="140" w:before="240"/>
      </w:pPr>
      <w:r>
        <w:rPr>
          <w:rFonts w:ascii="Cambria" w:cs="Cambria" w:eastAsia="Cambria" w:hAnsi="Cambria"/>
          <w:b/>
          <w:bCs/>
          <w:color w:val="1A1A1A"/>
          <w:sz w:val="24"/>
          <w:szCs w:val="24"/>
        </w:rPr>
        <w:t xml:space="preserve">8.2. Setup de confiance et horizon post-quantique</w:t>
      </w:r>
    </w:p>
    <w:p>
      <w:pPr>
        <w:spacing w:after="120" w:before="0" w:line="276"/>
        <w:jc w:val="both"/>
      </w:pPr>
      <w:r>
        <w:rPr>
          <w:rFonts w:ascii="Cambria" w:cs="Cambria" w:eastAsia="Cambria" w:hAnsi="Cambria"/>
          <w:sz w:val="21"/>
          <w:szCs w:val="21"/>
        </w:rPr>
        <w:t xml:space="preserve">Groth16 exige un setup de confiance propre au circuit. Les miroirs publics de la cérémonie Hermez n'étant plus accessibles au moment de ces travaux, le prototype recourt à une cérémonie locale à contributeur unique, ce qui est acceptable pour une validation de faisabilité mais ne l'est pas en production. Ce choix n'est pas isolé : les travaux les plus récents du domaine, ZK-ACE et zkAt inclus, retiennent également Groth16, pour les mêmes raisons de compacité et de coût de vérification.</w:t>
      </w:r>
    </w:p>
    <w:p>
      <w:pPr>
        <w:spacing w:after="120" w:before="0" w:line="276"/>
        <w:jc w:val="both"/>
      </w:pPr>
      <w:r>
        <w:rPr>
          <w:rFonts w:ascii="Cambria" w:cs="Cambria" w:eastAsia="Cambria" w:hAnsi="Cambria"/>
          <w:b/>
          <w:bCs/>
          <w:sz w:val="21"/>
          <w:szCs w:val="21"/>
        </w:rPr>
        <w:t xml:space="preserve">Deux objections distinctes, une seule réponse possible. </w:t>
      </w:r>
      <w:r>
        <w:rPr>
          <w:rFonts w:ascii="Cambria" w:cs="Cambria" w:eastAsia="Cambria" w:hAnsi="Cambria"/>
          <w:sz w:val="21"/>
          <w:szCs w:val="21"/>
        </w:rPr>
        <w:t xml:space="preserve">La première est le setup de confiance lui-même. La seconde, plus structurante, est que Groth16 repose sur des couplages sur courbe elliptique : il n'est pas résistant à un adversaire quantique. Or, comme la Section 2.5 le relève, les deux cadres récents dont la motivation est explicitement post-quantique — ZK-ACE et le passeport numérique de Radanliev et al. — migrent leurs signatures vers les primitives NIST tout en conservant un système de preuve classique. La propriété post-quantique annoncée au niveau du système s'arrête donc à la couche de preuve. Ce travail partage exactement cette limite, et nous la signalons plutôt que de la laisser implicite.</w:t>
      </w:r>
    </w:p>
    <w:p>
      <w:pPr>
        <w:spacing w:after="120" w:before="0" w:line="276"/>
        <w:jc w:val="both"/>
      </w:pPr>
      <w:r>
        <w:rPr>
          <w:rFonts w:ascii="Cambria" w:cs="Cambria" w:eastAsia="Cambria" w:hAnsi="Cambria"/>
          <w:sz w:val="21"/>
          <w:szCs w:val="21"/>
        </w:rPr>
        <w:t xml:space="preserve">Un schéma à setup universel tel que PLONK répondrait à la première objection, mais non à la seconde : il reste fondé sur des couplages. Les systèmes transparents de type zk-STARK répondent aux deux d'un même mouvement — aucun setup, et une sécurité plausiblement post-quantique, puisque leur solidité ne repose que sur des fonctions de hachage. ZK-ACE les désigne d'ailleurs explicitement comme l'option transparente et plausiblement post-quantique, et déclare sa propre construction agnostique au système de preuve.</w:t>
      </w:r>
    </w:p>
    <w:p>
      <w:pPr>
        <w:spacing w:after="120" w:before="0" w:line="276"/>
        <w:jc w:val="both"/>
      </w:pPr>
      <w:r>
        <w:rPr>
          <w:rFonts w:ascii="Cambria" w:cs="Cambria" w:eastAsia="Cambria" w:hAnsi="Cambria"/>
          <w:sz w:val="21"/>
          <w:szCs w:val="21"/>
        </w:rPr>
        <w:t xml:space="preserve">La conception présentée ici admet la même agnosticité, et pour une raison précise : les cinq contraintes de la Section 3.3 ne sont que des évaluations de hachage ZK-friendly et des vérifications d'arbre. Aucune arithmétique de signature ni opération spécifique à un système de preuve n'est placée dans le circuit. Les invariants de la Section 5 portent sur l'état du contrat et abstraient le vérificateur par un oracle booléen : ils demeurent valides sous tout backend. Une migration vers un backend STARK ne toucherait donc ni la structure du circuit, ni les invariants, ni la liaison de contexte.</w:t>
      </w:r>
    </w:p>
    <w:p>
      <w:pPr>
        <w:spacing w:after="120" w:before="0" w:line="276"/>
        <w:jc w:val="both"/>
      </w:pPr>
      <w:r>
        <w:rPr>
          <w:rFonts w:ascii="Cambria" w:cs="Cambria" w:eastAsia="Cambria" w:hAnsi="Cambria"/>
          <w:sz w:val="21"/>
          <w:szCs w:val="21"/>
        </w:rPr>
        <w:t xml:space="preserve">Cette migration a néanmoins un coût, et il est mesuré dans la littérature plutôt qu'hypothétique. Le cadre zk-STARK de Hui Yuan rapporte des preuves d'environ 45 Ko — soit un facteur 180 par rapport aux 256 octets obtenus ici — et une vérification on-chain d'environ 280 000 gas, contre 238 785 gas dans notre implémentation. L'arbitrage est donc explicite : la transparence et la résistance post-quantique se paient en volume de données et en coût de vérification. Il n'est pas tranché ici, et relève du travail complémentaire mentionné en conclusion.</w:t>
      </w:r>
    </w:p>
    <w:p>
      <w:pPr>
        <w:pStyle w:val="Heading2"/>
        <w:spacing w:after="140" w:before="240"/>
      </w:pPr>
      <w:r>
        <w:rPr>
          <w:rFonts w:ascii="Cambria" w:cs="Cambria" w:eastAsia="Cambria" w:hAnsi="Cambria"/>
          <w:b/>
          <w:bCs/>
          <w:color w:val="1A1A1A"/>
          <w:sz w:val="24"/>
          <w:szCs w:val="24"/>
        </w:rPr>
        <w:t xml:space="preserve">8.3. Portée de la vérification formelle</w:t>
      </w:r>
    </w:p>
    <w:p>
      <w:pPr>
        <w:spacing w:after="120" w:before="0" w:line="276"/>
        <w:jc w:val="both"/>
      </w:pPr>
      <w:r>
        <w:rPr>
          <w:rFonts w:ascii="Cambria" w:cs="Cambria" w:eastAsia="Cambria" w:hAnsi="Cambria"/>
          <w:sz w:val="21"/>
          <w:szCs w:val="21"/>
        </w:rPr>
        <w:t xml:space="preserve">Les invariants sont établis sur des modèles B à domaine fini et sur le code source Solidity, non sur le bytecode déployé. Deux obligations de preuve restent indéterminées pour le moteur CHC en raison d'une limite documentée de son raisonnement sur les tableaux ; elles sont couvertes par le model-checking exhaustif, mais cette complémentarité reste une construction, non une preuve unique et homogène. Par ailleurs, les définitions de la Section 4 sont accompagnées d'esquisses de réduction et non de démonstrations complètes : formaliser ces réductions, et les mécaniser, constitue une suite naturelle.</w:t>
      </w:r>
    </w:p>
    <w:p>
      <w:pPr>
        <w:pStyle w:val="Heading2"/>
        <w:spacing w:after="140" w:before="240"/>
      </w:pPr>
      <w:r>
        <w:rPr>
          <w:rFonts w:ascii="Cambria" w:cs="Cambria" w:eastAsia="Cambria" w:hAnsi="Cambria"/>
          <w:b/>
          <w:bCs/>
          <w:color w:val="1A1A1A"/>
          <w:sz w:val="24"/>
          <w:szCs w:val="24"/>
        </w:rPr>
        <w:t xml:space="preserve">8.4. Passage à l'échelle</w:t>
      </w:r>
    </w:p>
    <w:p>
      <w:pPr>
        <w:spacing w:after="120" w:before="0" w:line="276"/>
        <w:jc w:val="both"/>
      </w:pPr>
      <w:r>
        <w:rPr>
          <w:rFonts w:ascii="Cambria" w:cs="Cambria" w:eastAsia="Cambria" w:hAnsi="Cambria"/>
          <w:sz w:val="21"/>
          <w:szCs w:val="21"/>
        </w:rPr>
        <w:t xml:space="preserve">Le coût de vérification est constant, ce qui est favorable, mais 348 917 gas par autorisation consommée on-chain reste significatif sur le réseau principal. Trois voies d'atténuation se dégagent : la validation en lecture, sans transaction, lorsque l'opposabilité globale de l'anti-rejeu n'est pas requise ; l'agrégation par composition récursive, que ZK-ACE identifie comme extension naturelle de ce type de circuit ; et le déploiement sur une solution de couche 2, dont l'évaluation n'a pas été conduite ici. Côté client, le portage du prouveur sur une implémentation native est la mesure au meilleur rapport coût-bénéfice, comme l'établit la Section 7.5.</w:t>
      </w:r>
    </w:p>
    <w:p>
      <w:pPr>
        <w:spacing w:after="120" w:before="0" w:line="276"/>
        <w:jc w:val="both"/>
      </w:pPr>
      <w:r>
        <w:rPr>
          <w:rFonts w:ascii="Cambria" w:cs="Cambria" w:eastAsia="Cambria" w:hAnsi="Cambria"/>
          <w:sz w:val="21"/>
          <w:szCs w:val="21"/>
        </w:rPr>
        <w:t xml:space="preserve">Ces limites — confidentialité vis-à-vis de l'AS et passage à l'échelle — ne sont pas des défauts d'implémentation mais des questions de recherche à part entière, qui excèdent le cadre d'une démonstration de faisabilité.</w:t>
      </w:r>
    </w:p>
    <w:p>
      <w:pPr>
        <w:pStyle w:val="Heading1"/>
        <w:spacing w:after="140" w:before="360"/>
      </w:pPr>
      <w:r>
        <w:rPr>
          <w:rFonts w:ascii="Cambria" w:cs="Cambria" w:eastAsia="Cambria" w:hAnsi="Cambria"/>
          <w:b/>
          <w:bCs/>
          <w:color w:val="1A1A1A"/>
          <w:sz w:val="28"/>
          <w:szCs w:val="28"/>
        </w:rPr>
        <w:t xml:space="preserve">9. Conclusion</w:t>
      </w:r>
    </w:p>
    <w:p>
      <w:pPr>
        <w:spacing w:after="120" w:before="0" w:line="276"/>
        <w:jc w:val="both"/>
      </w:pPr>
      <w:r>
        <w:rPr>
          <w:rFonts w:ascii="Cambria" w:cs="Cambria" w:eastAsia="Cambria" w:hAnsi="Cambria"/>
          <w:sz w:val="21"/>
          <w:szCs w:val="21"/>
        </w:rPr>
        <w:t xml:space="preserve">Cet article a présenté ZK-OAuthChain, une architecture d'autorisation décentralisée, confidentielle et formellement vérifiable, et en a démontré la faisabilité technique par une implémentation complète et son évaluation expérimentale.</w:t>
      </w:r>
    </w:p>
    <w:p>
      <w:pPr>
        <w:spacing w:after="120" w:before="0" w:line="276"/>
        <w:jc w:val="both"/>
      </w:pPr>
      <w:r>
        <w:rPr>
          <w:rFonts w:ascii="Cambria" w:cs="Cambria" w:eastAsia="Cambria" w:hAnsi="Cambria"/>
          <w:sz w:val="21"/>
          <w:szCs w:val="21"/>
        </w:rPr>
        <w:t xml:space="preserve">Les résultats obtenus sont les suivants. Le circuit, qui prouve conjointement la liaison de contexte, le hachage d'engagement, l'appartenance de Merkle et la non-révocation, compile en 25 383 contraintes et produit une preuve Groth16 de 256 octets. Le contrat vérifie cette preuve pour 238 785 gas, coût rigoureusement constant, et traite une autorisation complète pour 348 917 gas — un coût comparable à celui des systèmes zk-SNARK de l'état de l'art. La vérification formelle a été exécutée, non seulement décrite : elle a exhibé puis corrigé un défaut réel de la spécification initiale, et établit désormais les invariants par model-checking exhaustif sur 9 755 états, complété par 4 obligations démontrées directement sur le code Solidity.</w:t>
      </w:r>
    </w:p>
    <w:p>
      <w:pPr>
        <w:spacing w:after="120" w:before="0" w:line="276"/>
        <w:jc w:val="both"/>
      </w:pPr>
      <w:r>
        <w:rPr>
          <w:rFonts w:ascii="Cambria" w:cs="Cambria" w:eastAsia="Cambria" w:hAnsi="Cambria"/>
          <w:sz w:val="21"/>
          <w:szCs w:val="21"/>
        </w:rPr>
        <w:t xml:space="preserve">La leçon principale tirée de l'analyse de zkLogin a été intégrée au niveau du protocole et non du déploiement : l'engagement scelle le quadruplet (émetteur, audience, sujet, Serveur de Ressource) ainsi qu'un séparateur de domaine, et cette liaison est à la fois cryptographique — un contexte falsifié rend le circuit insatisfiable — et contractuelle. Enfin, la comparaison avec zkAt, dont le circuit est de taille quasi identique, établit que l'écart de latence mesuré face à OAuth 2.0 relève de l'outillage de preuve et non de la conception du protocole.</w:t>
      </w:r>
    </w:p>
    <w:p>
      <w:pPr>
        <w:spacing w:after="120" w:before="0" w:line="276"/>
        <w:jc w:val="both"/>
      </w:pPr>
      <w:r>
        <w:rPr>
          <w:rFonts w:ascii="Cambria" w:cs="Cambria" w:eastAsia="Cambria" w:hAnsi="Cambria"/>
          <w:sz w:val="21"/>
          <w:szCs w:val="21"/>
        </w:rPr>
        <w:t xml:space="preserve">Les questions de confidentialité vis-à-vis du Serveur d'Autorisation et de passage à l'échelle, identifiées en discussion comme les deux limites structurantes du modèle, font l'objet d'un travail complémentaire.</w:t>
      </w:r>
    </w:p>
    <w:p>
      <w:pPr>
        <w:pStyle w:val="Heading1"/>
        <w:spacing w:after="140" w:before="360"/>
      </w:pPr>
      <w:r>
        <w:rPr>
          <w:rFonts w:ascii="Cambria" w:cs="Cambria" w:eastAsia="Cambria" w:hAnsi="Cambria"/>
          <w:b/>
          <w:bCs/>
          <w:color w:val="1A1A1A"/>
          <w:sz w:val="28"/>
          <w:szCs w:val="28"/>
        </w:rPr>
        <w:t xml:space="preserve">Références</w:t>
      </w:r>
    </w:p>
    <w:p>
      <w:pPr>
        <w:spacing w:after="90" w:line="260"/>
        <w:ind w:left="340" w:hanging="340"/>
        <w:jc w:val="both"/>
      </w:pPr>
      <w:r>
        <w:rPr>
          <w:rFonts w:ascii="Cambria" w:cs="Cambria" w:eastAsia="Cambria" w:hAnsi="Cambria"/>
          <w:sz w:val="19"/>
          <w:szCs w:val="19"/>
        </w:rPr>
        <w:t xml:space="preserve">[1] J.-R. Abrial, The B-Book: Assigning Programs to Meanings, Cambridge University Press, 1996.</w:t>
      </w:r>
    </w:p>
    <w:p>
      <w:pPr>
        <w:spacing w:after="90" w:line="260"/>
        <w:ind w:left="340" w:hanging="340"/>
        <w:jc w:val="both"/>
      </w:pPr>
      <w:r>
        <w:rPr>
          <w:rFonts w:ascii="Cambria" w:cs="Cambria" w:eastAsia="Cambria" w:hAnsi="Cambria"/>
          <w:sz w:val="19"/>
          <w:szCs w:val="19"/>
        </w:rPr>
        <w:t xml:space="preserve">[2] F. Baba, A. Mammar et al., « Modélisation et vérification formelle de contrats intelligents Solidity avec la Méthode B », Rapport de recherche, Université Paris-Saclay, 2024.</w:t>
      </w:r>
    </w:p>
    <w:p>
      <w:pPr>
        <w:spacing w:after="90" w:line="260"/>
        <w:ind w:left="340" w:hanging="340"/>
        <w:jc w:val="both"/>
      </w:pPr>
      <w:r>
        <w:rPr>
          <w:rFonts w:ascii="Cambria" w:cs="Cambria" w:eastAsia="Cambria" w:hAnsi="Cambria"/>
          <w:sz w:val="19"/>
          <w:szCs w:val="19"/>
        </w:rPr>
        <w:t xml:space="preserve">[3] K. Bhargavan, B. Grégoire, P.-Y. Strub et al., « Formal Verification of Smart Contracts », IEEE Security &amp; Privacy, vol. 19, n° 2, 2021.</w:t>
      </w:r>
    </w:p>
    <w:p>
      <w:pPr>
        <w:spacing w:after="90" w:line="260"/>
        <w:ind w:left="340" w:hanging="340"/>
        <w:jc w:val="both"/>
      </w:pPr>
      <w:r>
        <w:rPr>
          <w:rFonts w:ascii="Cambria" w:cs="Cambria" w:eastAsia="Cambria" w:hAnsi="Cambria"/>
          <w:sz w:val="19"/>
          <w:szCs w:val="19"/>
        </w:rPr>
        <w:t xml:space="preserve">[4] N. Fotiou, V. A. Siris, D. Lagutin et al., « OAuth 2.0 Authorization Using Blockchain-Based Tokens », NDSS Workshop on Decentralized IoT Security (DIoT), 2020.</w:t>
      </w:r>
    </w:p>
    <w:p>
      <w:pPr>
        <w:spacing w:after="90" w:line="260"/>
        <w:ind w:left="340" w:hanging="340"/>
        <w:jc w:val="both"/>
      </w:pPr>
      <w:r>
        <w:rPr>
          <w:rFonts w:ascii="Cambria" w:cs="Cambria" w:eastAsia="Cambria" w:hAnsi="Cambria"/>
          <w:sz w:val="19"/>
          <w:szCs w:val="19"/>
        </w:rPr>
        <w:t xml:space="preserve">[5] S. Goldwasser, S. Micali et C. Rackoff, « The Knowledge Complexity of Interactive Proof Systems », SIAM Journal on Computing, vol. 18, n° 1, 1989.</w:t>
      </w:r>
    </w:p>
    <w:p>
      <w:pPr>
        <w:spacing w:after="90" w:line="260"/>
        <w:ind w:left="340" w:hanging="340"/>
        <w:jc w:val="both"/>
      </w:pPr>
      <w:r>
        <w:rPr>
          <w:rFonts w:ascii="Cambria" w:cs="Cambria" w:eastAsia="Cambria" w:hAnsi="Cambria"/>
          <w:sz w:val="19"/>
          <w:szCs w:val="19"/>
        </w:rPr>
        <w:t xml:space="preserve">[6] D. Hardt, « The OAuth 2.0 Authorization Framework », IETF RFC 6749, 2012.</w:t>
      </w:r>
    </w:p>
    <w:p>
      <w:pPr>
        <w:spacing w:after="90" w:line="260"/>
        <w:ind w:left="340" w:hanging="340"/>
        <w:jc w:val="both"/>
      </w:pPr>
      <w:r>
        <w:rPr>
          <w:rFonts w:ascii="Cambria" w:cs="Cambria" w:eastAsia="Cambria" w:hAnsi="Cambria"/>
          <w:sz w:val="19"/>
          <w:szCs w:val="19"/>
        </w:rPr>
        <w:t xml:space="preserve">[7] T. Lodderstedt, M. McGloin et P. Hunt, « OAuth 2.0 Threat Model and Security Considerations », IETF RFC 6819, 2013.</w:t>
      </w:r>
    </w:p>
    <w:p>
      <w:pPr>
        <w:spacing w:after="90" w:line="260"/>
        <w:ind w:left="340" w:hanging="340"/>
        <w:jc w:val="both"/>
      </w:pPr>
      <w:r>
        <w:rPr>
          <w:rFonts w:ascii="Cambria" w:cs="Cambria" w:eastAsia="Cambria" w:hAnsi="Cambria"/>
          <w:sz w:val="19"/>
          <w:szCs w:val="19"/>
        </w:rPr>
        <w:t xml:space="preserve">[8] J. Groth, « On the Size of Pairing-Based Non-interactive Arguments », EUROCRYPT 2016, LNCS 9666, Springer, 2016.</w:t>
      </w:r>
    </w:p>
    <w:p>
      <w:pPr>
        <w:spacing w:after="90" w:line="260"/>
        <w:ind w:left="340" w:hanging="340"/>
        <w:jc w:val="both"/>
      </w:pPr>
      <w:r>
        <w:rPr>
          <w:rFonts w:ascii="Cambria" w:cs="Cambria" w:eastAsia="Cambria" w:hAnsi="Cambria"/>
          <w:sz w:val="19"/>
          <w:szCs w:val="19"/>
        </w:rPr>
        <w:t xml:space="preserve">[9] L. Grassi, D. Khovratovich, C. Rechberger, A. Roy et M. Schofnegger, « Poseidon: A New Hash Function for Zero-Knowledge Proof Systems », USENIX Security Symposium, 2021.</w:t>
      </w:r>
    </w:p>
    <w:p>
      <w:pPr>
        <w:spacing w:after="90" w:line="260"/>
        <w:ind w:left="340" w:hanging="340"/>
        <w:jc w:val="both"/>
      </w:pPr>
      <w:r>
        <w:rPr>
          <w:rFonts w:ascii="Cambria" w:cs="Cambria" w:eastAsia="Cambria" w:hAnsi="Cambria"/>
          <w:sz w:val="19"/>
          <w:szCs w:val="19"/>
        </w:rPr>
        <w:t xml:space="preserve">[10] Aleo Labs, « zk-Login: Decentralized Authentication Using zk-SNARKs », documentation technique, Aleo Network, 2024.</w:t>
      </w:r>
    </w:p>
    <w:p>
      <w:pPr>
        <w:spacing w:after="90" w:line="260"/>
        <w:ind w:left="340" w:hanging="340"/>
        <w:jc w:val="both"/>
      </w:pPr>
      <w:r>
        <w:rPr>
          <w:rFonts w:ascii="Cambria" w:cs="Cambria" w:eastAsia="Cambria" w:hAnsi="Cambria"/>
          <w:sz w:val="19"/>
          <w:szCs w:val="19"/>
        </w:rPr>
        <w:t xml:space="preserve">[11] S. Celi, H. Haddadi et K. Den Hartog, « Analysis and Vulnerabilities in zkLogin », Brave Software et Imperial College London, 2026.</w:t>
      </w:r>
    </w:p>
    <w:p>
      <w:pPr>
        <w:spacing w:after="90" w:line="260"/>
        <w:ind w:left="340" w:hanging="340"/>
        <w:jc w:val="both"/>
      </w:pPr>
      <w:r>
        <w:rPr>
          <w:rFonts w:ascii="Cambria" w:cs="Cambria" w:eastAsia="Cambria" w:hAnsi="Cambria"/>
          <w:sz w:val="19"/>
          <w:szCs w:val="19"/>
        </w:rPr>
        <w:t xml:space="preserve">[12] J. S. Wang, « ZK-ACE: Identity-Centric Zero-Knowledge Authorization for Post-Quantum Blockchain Systems », arXiv:2603.07974v2, 2026.</w:t>
      </w:r>
    </w:p>
    <w:p>
      <w:pPr>
        <w:spacing w:after="90" w:line="260"/>
        <w:ind w:left="340" w:hanging="340"/>
        <w:jc w:val="both"/>
      </w:pPr>
      <w:r>
        <w:rPr>
          <w:rFonts w:ascii="Cambria" w:cs="Cambria" w:eastAsia="Cambria" w:hAnsi="Cambria"/>
          <w:sz w:val="19"/>
          <w:szCs w:val="19"/>
        </w:rPr>
        <w:t xml:space="preserve">[13] K. Kryptos Chalkias, D. Maram, A. Roy, J. Wang et A. Yadav, « Zero-Knowledge Authenticator for Blockchain: Policy-Private and Obliviously Updateable », Mysten Labs et George Mason University, 2025.</w:t>
      </w:r>
    </w:p>
    <w:p>
      <w:pPr>
        <w:spacing w:after="90" w:line="260"/>
        <w:ind w:left="340" w:hanging="340"/>
        <w:jc w:val="both"/>
      </w:pPr>
      <w:r>
        <w:rPr>
          <w:rFonts w:ascii="Cambria" w:cs="Cambria" w:eastAsia="Cambria" w:hAnsi="Cambria"/>
          <w:sz w:val="19"/>
          <w:szCs w:val="19"/>
        </w:rPr>
        <w:t xml:space="preserve">[14] R. Davila, E. Barcenas et R. Aldeco-Pérez, « Verificación Formal de Contratos Inteligentes: Una Revisión Sistemática de la Literatura », Abstraction &amp; Application, vol. 50, UADY, 2025.</w:t>
      </w:r>
    </w:p>
    <w:p>
      <w:pPr>
        <w:spacing w:after="90" w:line="260"/>
        <w:ind w:left="340" w:hanging="340"/>
        <w:jc w:val="both"/>
      </w:pPr>
      <w:r>
        <w:rPr>
          <w:rFonts w:ascii="Cambria" w:cs="Cambria" w:eastAsia="Cambria" w:hAnsi="Cambria"/>
          <w:sz w:val="19"/>
          <w:szCs w:val="19"/>
        </w:rPr>
        <w:t xml:space="preserve">[15] N. Sakimura, J. Bradley et N. Agarwal, « Proof Key for Code Exchange by OAuth Public Clients », IETF RFC 7636, 2015.</w:t>
      </w:r>
    </w:p>
    <w:p>
      <w:pPr>
        <w:spacing w:after="90" w:line="260"/>
        <w:ind w:left="340" w:hanging="340"/>
        <w:jc w:val="both"/>
      </w:pPr>
      <w:r>
        <w:rPr>
          <w:rFonts w:ascii="Cambria" w:cs="Cambria" w:eastAsia="Cambria" w:hAnsi="Cambria"/>
          <w:sz w:val="19"/>
          <w:szCs w:val="19"/>
        </w:rPr>
        <w:t xml:space="preserve">[16] J. Richer, « OAuth 2.0 Token Introspection », IETF RFC 7662, 2015.</w:t>
      </w:r>
    </w:p>
    <w:p>
      <w:pPr>
        <w:spacing w:after="90" w:line="260"/>
        <w:ind w:left="340" w:hanging="340"/>
        <w:jc w:val="both"/>
      </w:pPr>
      <w:r>
        <w:rPr>
          <w:rFonts w:ascii="Cambria" w:cs="Cambria" w:eastAsia="Cambria" w:hAnsi="Cambria"/>
          <w:sz w:val="19"/>
          <w:szCs w:val="19"/>
        </w:rPr>
        <w:t xml:space="preserve">[17] Hui Yuan, « A Scalable, Privacy-Preserving Decentralized Identity and Verifiable Data Sharing Framework based on Zero-Knowledge Proofs », Peking University, 2025.</w:t>
      </w:r>
    </w:p>
    <w:p>
      <w:pPr>
        <w:spacing w:after="90" w:line="260"/>
        <w:ind w:left="340" w:hanging="340"/>
        <w:jc w:val="both"/>
      </w:pPr>
      <w:r>
        <w:rPr>
          <w:rFonts w:ascii="Cambria" w:cs="Cambria" w:eastAsia="Cambria" w:hAnsi="Cambria"/>
          <w:sz w:val="19"/>
          <w:szCs w:val="19"/>
        </w:rPr>
        <w:t xml:space="preserve">[18] L. Alt et C. Reitwiessner, « SMT-Based Verification of Solidity Smart Contracts », ISoLA 2018, LNCS 11247, Springer, 2018.</w:t>
      </w:r>
    </w:p>
    <w:p>
      <w:pPr>
        <w:spacing w:after="90" w:line="260"/>
        <w:ind w:left="340" w:hanging="340"/>
        <w:jc w:val="both"/>
      </w:pPr>
      <w:r>
        <w:rPr>
          <w:rFonts w:ascii="Cambria" w:cs="Cambria" w:eastAsia="Cambria" w:hAnsi="Cambria"/>
          <w:sz w:val="19"/>
          <w:szCs w:val="19"/>
        </w:rPr>
        <w:t xml:space="preserve">[19] M. Leuschel et M. Butler, « ProB: A Model Checker for B », FME 2003, LNCS 2805, Springer, 2003.</w:t>
      </w:r>
    </w:p>
    <w:p>
      <w:pPr>
        <w:spacing w:after="90" w:line="260"/>
        <w:ind w:left="340" w:hanging="340"/>
        <w:jc w:val="both"/>
      </w:pPr>
      <w:r>
        <w:rPr>
          <w:rFonts w:ascii="Cambria" w:cs="Cambria" w:eastAsia="Cambria" w:hAnsi="Cambria"/>
          <w:sz w:val="19"/>
          <w:szCs w:val="19"/>
        </w:rPr>
        <w:t xml:space="preserve">[20] P. Radanliev, C. Maple et O. Santos, « Complying with the NIST post-quantum cryptography standards and decentralizing artificial intelligence », Frontiers, 2025.</w:t>
      </w:r>
    </w:p>
    <w:p>
      <w:r>
        <w:br w:type="page"/>
      </w:r>
    </w:p>
    <w:p>
      <w:pPr>
        <w:pStyle w:val="Heading1"/>
        <w:spacing w:after="140" w:before="360"/>
      </w:pPr>
      <w:r>
        <w:rPr>
          <w:rFonts w:ascii="Cambria" w:cs="Cambria" w:eastAsia="Cambria" w:hAnsi="Cambria"/>
          <w:b/>
          <w:bCs/>
          <w:color w:val="1A1A1A"/>
          <w:sz w:val="28"/>
          <w:szCs w:val="28"/>
        </w:rPr>
        <w:t xml:space="preserve">Annexe A — Reproductibilité</w:t>
      </w:r>
    </w:p>
    <w:p>
      <w:pPr>
        <w:spacing w:after="120" w:before="0" w:line="276"/>
        <w:jc w:val="both"/>
      </w:pPr>
      <w:r>
        <w:rPr>
          <w:rFonts w:ascii="Cambria" w:cs="Cambria" w:eastAsia="Cambria" w:hAnsi="Cambria"/>
          <w:sz w:val="21"/>
          <w:szCs w:val="21"/>
        </w:rPr>
        <w:t xml:space="preserve">L'ensemble des résultats rapportés est reproductible par la séquence suivante. Chaque commande régénère les fichiers de mesures à partir desquels les tableaux de cet article sont construits automatiquement : le document ne peut donc pas diverger des mesures.</w:t>
      </w:r>
    </w:p>
    <w:p>
      <w:pPr>
        <w:spacing w:after="0" w:before="60"/>
        <w:ind w:left="340"/>
      </w:pPr>
      <w:r>
        <w:rPr>
          <w:rFonts w:ascii="Consolas" w:cs="Consolas" w:eastAsia="Consolas" w:hAnsi="Consolas"/>
          <w:sz w:val="17"/>
          <w:szCs w:val="17"/>
        </w:rPr>
        <w:t xml:space="preserve">npm install &amp;&amp; npm run bootstrap</w:t>
      </w:r>
    </w:p>
    <w:p>
      <w:pPr>
        <w:spacing w:after="0" w:before="0"/>
        <w:ind w:left="340"/>
      </w:pPr>
      <w:r>
        <w:rPr>
          <w:rFonts w:ascii="Consolas" w:cs="Consolas" w:eastAsia="Consolas" w:hAnsi="Consolas"/>
          <w:sz w:val="17"/>
          <w:szCs w:val="17"/>
        </w:rPr>
        <w:t xml:space="preserve">npm run circuit:build     # compilation Circom, Powers of Tau, setup Groth16</w:t>
      </w:r>
    </w:p>
    <w:p>
      <w:pPr>
        <w:spacing w:after="0" w:before="0"/>
        <w:ind w:left="340"/>
      </w:pPr>
      <w:r>
        <w:rPr>
          <w:rFonts w:ascii="Consolas" w:cs="Consolas" w:eastAsia="Consolas" w:hAnsi="Consolas"/>
          <w:sz w:val="17"/>
          <w:szCs w:val="17"/>
        </w:rPr>
        <w:t xml:space="preserve">npm run compile           # contrats Solidity</w:t>
      </w:r>
    </w:p>
    <w:p>
      <w:pPr>
        <w:spacing w:after="0" w:before="0"/>
        <w:ind w:left="340"/>
      </w:pPr>
      <w:r>
        <w:rPr>
          <w:rFonts w:ascii="Consolas" w:cs="Consolas" w:eastAsia="Consolas" w:hAnsi="Consolas"/>
          <w:sz w:val="17"/>
          <w:szCs w:val="17"/>
        </w:rPr>
        <w:t xml:space="preserve">npm test                  # 14 tests on-chain, dont les 3 scénarios zkLogin</w:t>
      </w:r>
    </w:p>
    <w:p>
      <w:pPr>
        <w:spacing w:after="0" w:before="0"/>
        <w:ind w:left="340"/>
      </w:pPr>
      <w:r>
        <w:rPr>
          <w:rFonts w:ascii="Consolas" w:cs="Consolas" w:eastAsia="Consolas" w:hAnsi="Consolas"/>
          <w:sz w:val="17"/>
          <w:szCs w:val="17"/>
        </w:rPr>
        <w:t xml:space="preserve">npm run verify            # ProB (Méthode B) + SMTChecker (CHC/z3)</w:t>
      </w:r>
    </w:p>
    <w:p>
      <w:pPr>
        <w:spacing w:after="0" w:before="0"/>
        <w:ind w:left="340"/>
      </w:pPr>
      <w:r>
        <w:rPr>
          <w:rFonts w:ascii="Consolas" w:cs="Consolas" w:eastAsia="Consolas" w:hAnsi="Consolas"/>
          <w:sz w:val="17"/>
          <w:szCs w:val="17"/>
        </w:rPr>
        <w:t xml:space="preserve">npx hardhat node          # nœud EVM local, dans un terminal dédié</w:t>
      </w:r>
    </w:p>
    <w:p>
      <w:pPr>
        <w:spacing w:after="0" w:before="0"/>
        <w:ind w:left="340"/>
      </w:pPr>
      <w:r>
        <w:rPr>
          <w:rFonts w:ascii="Consolas" w:cs="Consolas" w:eastAsia="Consolas" w:hAnsi="Consolas"/>
          <w:sz w:val="17"/>
          <w:szCs w:val="17"/>
        </w:rPr>
        <w:t xml:space="preserve">npm run deploy:local</w:t>
      </w:r>
    </w:p>
    <w:p>
      <w:pPr>
        <w:spacing w:after="0" w:before="0"/>
        <w:ind w:left="340"/>
      </w:pPr>
      <w:r>
        <w:rPr>
          <w:rFonts w:ascii="Consolas" w:cs="Consolas" w:eastAsia="Consolas" w:hAnsi="Consolas"/>
          <w:sz w:val="17"/>
          <w:szCs w:val="17"/>
        </w:rPr>
        <w:t xml:space="preserve">npm run bench:zk          # 40 autorisations mesurées</w:t>
      </w:r>
    </w:p>
    <w:p>
      <w:pPr>
        <w:spacing w:after="0" w:before="0"/>
        <w:ind w:left="340"/>
      </w:pPr>
      <w:r>
        <w:rPr>
          <w:rFonts w:ascii="Consolas" w:cs="Consolas" w:eastAsia="Consolas" w:hAnsi="Consolas"/>
          <w:sz w:val="17"/>
          <w:szCs w:val="17"/>
        </w:rPr>
        <w:t xml:space="preserve">npm run bench:oauth       # 200 flux OAuth 2.0 de référence</w:t>
      </w:r>
    </w:p>
    <w:p>
      <w:pPr>
        <w:spacing w:after="160" w:before="0"/>
        <w:ind w:left="340"/>
      </w:pPr>
      <w:r>
        <w:rPr>
          <w:rFonts w:ascii="Consolas" w:cs="Consolas" w:eastAsia="Consolas" w:hAnsi="Consolas"/>
          <w:sz w:val="17"/>
          <w:szCs w:val="17"/>
        </w:rPr>
        <w:t xml:space="preserve">npm run bench:compare     # tableaux comparatifs</w:t>
      </w:r>
    </w:p>
    <w:p>
      <w:pPr>
        <w:spacing w:after="120" w:before="0" w:line="276"/>
        <w:jc w:val="both"/>
      </w:pPr>
      <w:r>
        <w:rPr>
          <w:rFonts w:ascii="Cambria" w:cs="Cambria" w:eastAsia="Cambria" w:hAnsi="Cambria"/>
          <w:sz w:val="21"/>
          <w:szCs w:val="21"/>
        </w:rPr>
        <w:t xml:space="preserve">Le déploiement sur Sepolia s'obtient en renseignant un point d'accès RPC et une clé de compte de test dans le fichier d'environnement, puis en exécutant la commande de déploiement correspondante. Les mesures rapportées ici ont été produites le 16/09/2026.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ZK-OAuthChain — liaison de contexte, vérification formelle et évaluation expérimentale</dc:title>
  <dc:creator>ZK-OAuthChain</dc:creator>
  <cp:lastModifiedBy>Un-named</cp:lastModifiedBy>
  <cp:revision>1</cp:revision>
  <dcterms:created xsi:type="dcterms:W3CDTF">2026-09-16T07:26:38.916Z</dcterms:created>
  <dcterms:modified xsi:type="dcterms:W3CDTF">2026-09-16T07:26:38.916Z</dcterms:modified>
</cp:coreProperties>
</file>

<file path=docProps/custom.xml><?xml version="1.0" encoding="utf-8"?>
<Properties xmlns="http://schemas.openxmlformats.org/officeDocument/2006/custom-properties" xmlns:vt="http://schemas.openxmlformats.org/officeDocument/2006/docPropsVTypes"/>
</file>