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kbyw4s4d265e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Правила построения дерево текущей реальности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Источник: //www.dbrmfg.co.nz/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Автор: Dr. K. J. Youngman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Перевод: Денис Стариков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Каким же образом осуществить </w:t>
      </w:r>
      <w:r w:rsidDel="00000000" w:rsidR="00000000" w:rsidRPr="00000000">
        <w:rPr>
          <w:rFonts w:ascii="Roboto" w:cs="Roboto" w:eastAsia="Roboto" w:hAnsi="Roboto"/>
          <w:b w:val="1"/>
          <w:color w:val="474747"/>
          <w:sz w:val="21"/>
          <w:szCs w:val="21"/>
          <w:rtl w:val="0"/>
        </w:rPr>
        <w:t xml:space="preserve">постройку дерева текущей реальности</w:t>
      </w: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? Это, в общем-то, не секрет. Однако если вы работаете с группой, состоящей более, чем из 3-4 человек, рекомендуется использовать описание, предложенное Биллом Деттмером для методики карточек Кроуфорда (Crawford Slip Method – методика работы с информацией в больших группах людей), что будет способствовать более эффективному извлечению информации для </w:t>
      </w:r>
      <w:r w:rsidDel="00000000" w:rsidR="00000000" w:rsidRPr="00000000">
        <w:rPr>
          <w:rFonts w:ascii="Roboto" w:cs="Roboto" w:eastAsia="Roboto" w:hAnsi="Roboto"/>
          <w:b w:val="1"/>
          <w:color w:val="474747"/>
          <w:sz w:val="21"/>
          <w:szCs w:val="21"/>
          <w:rtl w:val="0"/>
        </w:rPr>
        <w:t xml:space="preserve">постройки дерева</w:t>
      </w: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Если вкратце, то нам необходимо составить список из нескольких (до 10) нежелательных явлений, которые наносят вред нашей текущей реальности. Записывать их следует в настоящем времени. Давайте ограничимся пятью нежелательными явлениями в данном примере.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Выстроим их в линию.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</w:rPr>
        <w:drawing>
          <wp:inline distB="114300" distT="114300" distL="114300" distR="114300">
            <wp:extent cx="5734050" cy="749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Спросите себя, являются ли какие-либо из них причинами или следствиями других. Если да, то причина размещается под следствием. Сделаем это.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</w:rPr>
        <w:drawing>
          <wp:inline distB="114300" distT="114300" distL="114300" distR="114300">
            <wp:extent cx="523875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Нам кажется, что нежелательное явление 1 – причина нежелательного явления 2, а нежелательные явления 3 и 4 – следствия нежелательного явления 5. Отразим эту причинно-следственную взаимосвязь с помощью стрелок.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238750" cy="1619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Эти взаимосвязи читаются следующим образом: «Если "нежелательное явление 1", то "нежелательное явление 2"». Или «Если "нежелательное явление 5", то "нежелательное явление 3"». Или «Если "нежелательное явление 5", то "нежелательное явление 4"».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Мы можем оттолкнуться от этих проблем-симптомов и копнуть глубже с целью выявления причин их возникновения, добавляя другие нежелательные явления или даже нейтральные явления, по мере того, как мы всё более полно описываем нашу текущую реальность. Сделаем это.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</w:rPr>
        <w:drawing>
          <wp:inline distB="114300" distT="114300" distL="114300" distR="114300">
            <wp:extent cx="5238750" cy="243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Отметьте для себя, что в данном случае нежелательное явление 5 является следствием из действия определенного нежелательного явления и определенного нейтрального явления. Эти два логических объекта являются причиной нежелательного явления 5, что обозначено с помощью эллипса. Читаем это следующим образом: «Если "причина" и "другая причина", то "следствие"».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Приступим к следующему этапу.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</w:rPr>
        <w:drawing>
          <wp:inline distB="114300" distT="114300" distL="114300" distR="114300">
            <wp:extent cx="5238750" cy="31813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Теперь мы связали две ветви дерева текущей реальности с общей корневой проблемой.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Для достижения полноты, добавим в это дерево негативную (убывающую) усиливающую петлю.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</w:rPr>
        <w:drawing>
          <wp:inline distB="114300" distT="114300" distL="114300" distR="114300">
            <wp:extent cx="5238750" cy="3238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47474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  <w:rtl w:val="0"/>
        </w:rPr>
        <w:t xml:space="preserve">Наконец, необходимо также учесть ситуацию, в которой вместо корневой проблемы будет иметь место корневой конфликт.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74747"/>
          <w:sz w:val="21"/>
          <w:szCs w:val="21"/>
        </w:rPr>
        <w:drawing>
          <wp:inline distB="114300" distT="114300" distL="114300" distR="114300">
            <wp:extent cx="5238750" cy="3409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Деревья текущей реальности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не имеют какой-то определенной «оптимальной формы» — они обретают свою форму по мере того, как вы осуществляете их постройку сверху вниз, устанавливая причинно-следственные связи с целью поиска проблемы (конфликта), ответственной за большинство наблюдаемых симптомов.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Теперь, усвоив изложенную выше информацию, мы находимся в состоянии разрешить корневую проблему и исходящие из нее симптомы.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