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問卷鏈接：</w:t>
      </w:r>
    </w:p>
    <w:p w:rsidR="00000000" w:rsidDel="00000000" w:rsidP="00000000" w:rsidRDefault="00000000" w:rsidRPr="00000000" w14:paraId="00000001">
      <w:pPr>
        <w:contextualSpacing w:val="0"/>
        <w:rPr>
          <w:rFonts w:ascii="Songti TC" w:cs="Songti TC" w:eastAsia="Songti TC" w:hAnsi="Songti TC"/>
        </w:rPr>
      </w:pPr>
      <w:hyperlink r:id="rId6">
        <w:r w:rsidDel="00000000" w:rsidR="00000000" w:rsidRPr="00000000">
          <w:rPr>
            <w:rFonts w:ascii="Songti TC" w:cs="Songti TC" w:eastAsia="Songti TC" w:hAnsi="Songti TC"/>
            <w:color w:val="1155cc"/>
            <w:u w:val="single"/>
            <w:rtl w:val="0"/>
          </w:rPr>
          <w:t xml:space="preserve">https://hkbuhk.qualtrics.com/jfe4/preview/SV_cZSlkaQaNeZ2jtj?Q_CHL=preview&amp;Q_CloneSession=FS_OvD1QKKzRldjOKt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ongti TC" w:cs="Songti TC" w:eastAsia="Songti TC" w:hAnsi="Songti T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問卷目的：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對兒童被性侵的新聞的看法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对侵犯群體的身分的接受度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認為中國內地的性侵犯現狀瞭解多少；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認為自己受到過的性教育是否有效及完善；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認為中國內地學校的性教育是否合理及有效；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認為中國內地家庭性教育是否合理及有效；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認為中國內地社會工作者性教育是否合理及有效；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認為中國內地學校老師的性教育是否合理及有效；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Songti TC" w:cs="Songti TC" w:eastAsia="Songti TC" w:hAnsi="Songti TC"/>
        </w:rPr>
      </w:pPr>
      <w:r w:rsidDel="00000000" w:rsidR="00000000" w:rsidRPr="00000000">
        <w:rPr>
          <w:rFonts w:ascii="Songti TC" w:cs="Songti TC" w:eastAsia="Songti TC" w:hAnsi="Songti TC"/>
          <w:rtl w:val="0"/>
        </w:rPr>
        <w:t xml:space="preserve">認為與未成年人性保護及性教育的相關法律是否完善；</w:t>
      </w:r>
    </w:p>
    <w:p w:rsidR="00000000" w:rsidDel="00000000" w:rsidP="00000000" w:rsidRDefault="00000000" w:rsidRPr="00000000" w14:paraId="0000000D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contextualSpacing w:val="0"/>
        <w:jc w:val="center"/>
        <w:rPr>
          <w:rFonts w:ascii="Songti TC" w:cs="Songti TC" w:eastAsia="Songti TC" w:hAnsi="Songti TC"/>
          <w:b w:val="1"/>
          <w:color w:val="353535"/>
          <w:sz w:val="28"/>
          <w:szCs w:val="28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sz w:val="28"/>
          <w:szCs w:val="28"/>
          <w:rtl w:val="0"/>
        </w:rPr>
        <w:t xml:space="preserve">有關中國內地兒童性侵犯現狀的調查</w:t>
      </w:r>
    </w:p>
    <w:p w:rsidR="00000000" w:rsidDel="00000000" w:rsidP="00000000" w:rsidRDefault="00000000" w:rsidRPr="00000000" w14:paraId="0000000F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i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i w:val="1"/>
          <w:color w:val="353535"/>
          <w:rtl w:val="0"/>
        </w:rPr>
        <w:t xml:space="preserve">第一部分：個人基本信息</w:t>
      </w:r>
    </w:p>
    <w:p w:rsidR="00000000" w:rsidDel="00000000" w:rsidP="00000000" w:rsidRDefault="00000000" w:rsidRPr="00000000" w14:paraId="00000011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1. 性別：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1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男 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1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2. 年齡 ：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18歲以下  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18歲至30歲 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31歲至40歲 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41歲至50歲 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50歲以上</w:t>
      </w:r>
    </w:p>
    <w:p w:rsidR="00000000" w:rsidDel="00000000" w:rsidP="00000000" w:rsidRDefault="00000000" w:rsidRPr="00000000" w14:paraId="0000001C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3. 您的受教育程度：</w:t>
      </w:r>
    </w:p>
    <w:p w:rsidR="00000000" w:rsidDel="00000000" w:rsidP="00000000" w:rsidRDefault="00000000" w:rsidRPr="00000000" w14:paraId="0000001E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4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小學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4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初中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4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高中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4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專科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4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大學本科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4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碩士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4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博士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4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其他</w:t>
      </w:r>
    </w:p>
    <w:p w:rsidR="00000000" w:rsidDel="00000000" w:rsidP="00000000" w:rsidRDefault="00000000" w:rsidRPr="00000000" w14:paraId="00000027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i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i w:val="1"/>
          <w:color w:val="353535"/>
          <w:rtl w:val="0"/>
        </w:rPr>
        <w:t xml:space="preserve">第二部分：關於對兒童性侵的看法</w:t>
      </w:r>
    </w:p>
    <w:p w:rsidR="00000000" w:rsidDel="00000000" w:rsidP="00000000" w:rsidRDefault="00000000" w:rsidRPr="00000000" w14:paraId="0000002A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u w:val="single"/>
          <w:rtl w:val="0"/>
        </w:rPr>
        <w:t xml:space="preserve">兒童性侵犯（Child Sexual abuse，CSA）</w:t>
      </w: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在法律已經被各國認為是犯罪行為，根據世界衛生組織1999年在預防虐待兒童項目中定義：CSA是發生在兒童和一個成人或另一個兒童之間的，以性為本質的活動。雙方存在年齡和發育上的差異，並利用不對等的責任、信任或者權力的關係滿足其中一方的需求，稱之為CSA。</w:t>
      </w:r>
    </w:p>
    <w:p w:rsidR="00000000" w:rsidDel="00000000" w:rsidP="00000000" w:rsidRDefault="00000000" w:rsidRPr="00000000" w14:paraId="0000002C">
      <w:pPr>
        <w:contextualSpacing w:val="0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具體來講，以下行為均屬於</w:t>
      </w:r>
      <w:r w:rsidDel="00000000" w:rsidR="00000000" w:rsidRPr="00000000">
        <w:rPr>
          <w:rFonts w:ascii="Songti TC" w:cs="Songti TC" w:eastAsia="Songti TC" w:hAnsi="Songti TC"/>
          <w:b w:val="1"/>
          <w:color w:val="353535"/>
          <w:u w:val="single"/>
          <w:rtl w:val="0"/>
        </w:rPr>
        <w:t xml:space="preserve">兒童性侵犯</w:t>
      </w: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：</w:t>
      </w:r>
    </w:p>
    <w:p w:rsidR="00000000" w:rsidDel="00000000" w:rsidP="00000000" w:rsidRDefault="00000000" w:rsidRPr="00000000" w14:paraId="0000002E">
      <w:pPr>
        <w:contextualSpacing w:val="0"/>
        <w:rPr>
          <w:rFonts w:ascii="Songti TC" w:cs="Songti TC" w:eastAsia="Songti TC" w:hAnsi="Songti TC"/>
          <w:color w:val="353535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性撫摸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性行為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強姦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非禮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口交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獸交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性虐待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暴露狂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利用兒童刺激或滿足個人性慾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安排兒童拍攝淫褻電影或照片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作雛妓等</w:t>
      </w:r>
    </w:p>
    <w:p w:rsidR="00000000" w:rsidDel="00000000" w:rsidP="00000000" w:rsidRDefault="00000000" w:rsidRPr="00000000" w14:paraId="0000003A">
      <w:pPr>
        <w:contextualSpacing w:val="0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1. 當您看見一則與兒童性侵有關的新聞報導（文字，圖片或視頻），您會產生以下哪種情緒？（多選）</w:t>
      </w:r>
    </w:p>
    <w:p w:rsidR="00000000" w:rsidDel="00000000" w:rsidP="00000000" w:rsidRDefault="00000000" w:rsidRPr="00000000" w14:paraId="0000003D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憤怒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恐懼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悲傷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冷漠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平淡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驚訝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同情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興奮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其他，如有，請列出：</w:t>
      </w:r>
    </w:p>
    <w:p w:rsidR="00000000" w:rsidDel="00000000" w:rsidP="00000000" w:rsidRDefault="00000000" w:rsidRPr="00000000" w14:paraId="00000047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2. 您認為，</w:t>
      </w:r>
      <w:r w:rsidDel="00000000" w:rsidR="00000000" w:rsidRPr="00000000">
        <w:rPr>
          <w:rFonts w:ascii="Songti TC" w:cs="Songti TC" w:eastAsia="Songti TC" w:hAnsi="Songti TC"/>
          <w:b w:val="1"/>
          <w:color w:val="353535"/>
          <w:highlight w:val="yellow"/>
          <w:rtl w:val="0"/>
        </w:rPr>
        <w:t xml:space="preserve">中國內地</w:t>
      </w: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兒童中，男童與女童受到性侵犯的現狀是：（單選）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男童多於女童；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男童少於女童；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差不多</w:t>
      </w:r>
    </w:p>
    <w:p w:rsidR="00000000" w:rsidDel="00000000" w:rsidP="00000000" w:rsidRDefault="00000000" w:rsidRPr="00000000" w14:paraId="0000004D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3. 您認為，在</w:t>
      </w:r>
      <w:r w:rsidDel="00000000" w:rsidR="00000000" w:rsidRPr="00000000">
        <w:rPr>
          <w:rFonts w:ascii="Songti TC" w:cs="Songti TC" w:eastAsia="Songti TC" w:hAnsi="Songti TC"/>
          <w:b w:val="1"/>
          <w:color w:val="353535"/>
          <w:highlight w:val="yellow"/>
          <w:rtl w:val="0"/>
        </w:rPr>
        <w:t xml:space="preserve">中國內地</w:t>
      </w: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，城市與農村發生兒童性侵犯事件的現狀是：（單選）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城市多於農村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城市少於農村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差不多</w:t>
      </w:r>
    </w:p>
    <w:p w:rsidR="00000000" w:rsidDel="00000000" w:rsidP="00000000" w:rsidRDefault="00000000" w:rsidRPr="00000000" w14:paraId="00000052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4. 假如您的孩子受到了性侵犯，在未來的家庭關係中，您將會：（多選）</w:t>
      </w:r>
    </w:p>
    <w:p w:rsidR="00000000" w:rsidDel="00000000" w:rsidP="00000000" w:rsidRDefault="00000000" w:rsidRPr="00000000" w14:paraId="00000054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與孩子斷絕關係或拋棄孩子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極其厭惡孩子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刻意疏遠、冷漠對待孩子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為此感到羞恥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認為這是不祥預兆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認為孩子不貞潔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迴避及隱瞞事實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極力保護孩子（如將孩子關在家中、限制其自由等）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加強與孩子的溝通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尋求法律保護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加強對孩子的性教育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3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  <w:u w:val="none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其他，如有，請列出：</w:t>
      </w:r>
    </w:p>
    <w:p w:rsidR="00000000" w:rsidDel="00000000" w:rsidP="00000000" w:rsidRDefault="00000000" w:rsidRPr="00000000" w14:paraId="00000061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4. 您覺得</w:t>
      </w:r>
      <w:r w:rsidDel="00000000" w:rsidR="00000000" w:rsidRPr="00000000">
        <w:rPr>
          <w:rFonts w:ascii="Songti TC" w:cs="Songti TC" w:eastAsia="Songti TC" w:hAnsi="Songti TC"/>
          <w:b w:val="1"/>
          <w:color w:val="353535"/>
          <w:highlight w:val="yellow"/>
          <w:rtl w:val="0"/>
        </w:rPr>
        <w:t xml:space="preserve">中國內地</w:t>
      </w: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兒童何時開始接受性教育比較合適？（單選）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0至2歲；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2至6歲；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6歲至12歲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12歲至16歲；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16歲至20歲；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20歲以後</w:t>
      </w:r>
    </w:p>
    <w:p w:rsidR="00000000" w:rsidDel="00000000" w:rsidP="00000000" w:rsidRDefault="00000000" w:rsidRPr="00000000" w14:paraId="00000069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5. 您認為，以下兒童可能接受性教育的渠道中，有效程度及重要性從高到低依次為：</w:t>
      </w:r>
    </w:p>
    <w:p w:rsidR="00000000" w:rsidDel="00000000" w:rsidP="00000000" w:rsidRDefault="00000000" w:rsidRPr="00000000" w14:paraId="0000006C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新聞媒體</w:t>
      </w: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（如報紙、電視、廣播等）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課外讀物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學校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網絡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影視作品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家庭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同學及朋友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社會工作者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政府宣傳及法律普及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其他，如有，請列出：</w:t>
      </w:r>
    </w:p>
    <w:p w:rsidR="00000000" w:rsidDel="00000000" w:rsidP="00000000" w:rsidRDefault="00000000" w:rsidRPr="00000000" w14:paraId="00000077">
      <w:pPr>
        <w:widowControl w:val="1"/>
        <w:contextualSpacing w:val="0"/>
        <w:jc w:val="left"/>
        <w:rPr>
          <w:rFonts w:ascii="Songti TC" w:cs="Songti TC" w:eastAsia="Songti TC" w:hAnsi="Songti TC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left"/>
        <w:rPr>
          <w:rFonts w:ascii="Songti TC" w:cs="Songti TC" w:eastAsia="Songti TC" w:hAnsi="Songti T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left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1"/>
          <w:rtl w:val="0"/>
        </w:rPr>
        <w:t xml:space="preserve">受訪者資料補充</w:t>
      </w:r>
    </w:p>
    <w:p w:rsidR="00000000" w:rsidDel="00000000" w:rsidP="00000000" w:rsidRDefault="00000000" w:rsidRPr="00000000" w14:paraId="0000007A">
      <w:pPr>
        <w:contextualSpacing w:val="0"/>
        <w:rPr>
          <w:rFonts w:ascii="Songti TC" w:cs="Songti TC" w:eastAsia="Songti TC" w:hAnsi="Songti T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1. 您是否LGBTI人士（同性戀／雙性戀／跨性別人士／雙性人）？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480"/>
        <w:jc w:val="left"/>
        <w:rPr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是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480"/>
        <w:jc w:val="left"/>
        <w:rPr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否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480"/>
        <w:jc w:val="left"/>
        <w:rPr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不願透露</w:t>
      </w:r>
    </w:p>
    <w:p w:rsidR="00000000" w:rsidDel="00000000" w:rsidP="00000000" w:rsidRDefault="00000000" w:rsidRPr="00000000" w14:paraId="0000007F">
      <w:pPr>
        <w:contextualSpacing w:val="0"/>
        <w:rPr>
          <w:rFonts w:ascii="Songti TC" w:cs="Songti TC" w:eastAsia="Songti TC" w:hAnsi="Songti T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Songti TC" w:cs="Songti TC" w:eastAsia="Songti TC" w:hAnsi="Songti T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Songti TC" w:cs="Songti TC" w:eastAsia="Songti TC" w:hAnsi="Songti TC"/>
          <w:b w:val="1"/>
        </w:rPr>
      </w:pPr>
      <w:r w:rsidDel="00000000" w:rsidR="00000000" w:rsidRPr="00000000">
        <w:rPr>
          <w:rFonts w:ascii="Songti TC" w:cs="Songti TC" w:eastAsia="Songti TC" w:hAnsi="Songti TC"/>
          <w:b w:val="1"/>
          <w:rtl w:val="0"/>
        </w:rPr>
        <w:t xml:space="preserve">2. 您來自於：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中國內地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香港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ngti TC" w:cs="Songti TC" w:eastAsia="Songti TC" w:hAnsi="Songti T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</w:t>
      </w:r>
    </w:p>
    <w:p w:rsidR="00000000" w:rsidDel="00000000" w:rsidP="00000000" w:rsidRDefault="00000000" w:rsidRPr="00000000" w14:paraId="00000085">
      <w:pPr>
        <w:contextualSpacing w:val="0"/>
        <w:rPr>
          <w:rFonts w:ascii="Songti TC" w:cs="Songti TC" w:eastAsia="Songti TC" w:hAnsi="Songti T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3. 收入：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12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低於HK＄12,000</w:t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12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HK＄12,000至 HK＄20,000</w:t>
      </w:r>
    </w:p>
    <w:p w:rsidR="00000000" w:rsidDel="00000000" w:rsidP="00000000" w:rsidRDefault="00000000" w:rsidRPr="00000000" w14:paraId="00000089">
      <w:pPr>
        <w:widowControl w:val="1"/>
        <w:numPr>
          <w:ilvl w:val="0"/>
          <w:numId w:val="12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HK＄20,000至 HK＄30,000</w:t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12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HK＄30,000至 HK＄50,000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12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HK＄50,000至 HK＄100,000</w:t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12"/>
        </w:numPr>
        <w:spacing w:after="0" w:before="0" w:lineRule="auto"/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HK＄100,000以上</w:t>
      </w:r>
    </w:p>
    <w:p w:rsidR="00000000" w:rsidDel="00000000" w:rsidP="00000000" w:rsidRDefault="00000000" w:rsidRPr="00000000" w14:paraId="0000008D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跳：</w:t>
      </w:r>
    </w:p>
    <w:p w:rsidR="00000000" w:rsidDel="00000000" w:rsidP="00000000" w:rsidRDefault="00000000" w:rsidRPr="00000000" w14:paraId="0000008F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contextualSpacing w:val="0"/>
        <w:jc w:val="left"/>
        <w:rPr>
          <w:rFonts w:ascii="Songti TC" w:cs="Songti TC" w:eastAsia="Songti TC" w:hAnsi="Songti TC"/>
          <w:b w:val="1"/>
          <w:color w:val="353535"/>
        </w:rPr>
      </w:pPr>
      <w:r w:rsidDel="00000000" w:rsidR="00000000" w:rsidRPr="00000000">
        <w:rPr>
          <w:rFonts w:ascii="Songti TC" w:cs="Songti TC" w:eastAsia="Songti TC" w:hAnsi="Songti TC"/>
          <w:b w:val="1"/>
          <w:color w:val="353535"/>
          <w:rtl w:val="0"/>
        </w:rPr>
        <w:t xml:space="preserve">2. 收入：</w:t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12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低於 RMB 3,000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12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RMB 3,000至RMB 5,000</w:t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12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RMB 5,000至 RMB 10,000</w:t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12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RMB 10,000至 RMB 20,000</w:t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12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RMB 20,000至 RMB 50,000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12"/>
        </w:numPr>
        <w:ind w:left="720" w:hanging="360"/>
        <w:contextualSpacing w:val="1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Fonts w:ascii="Songti TC" w:cs="Songti TC" w:eastAsia="Songti TC" w:hAnsi="Songti TC"/>
          <w:color w:val="353535"/>
          <w:rtl w:val="0"/>
        </w:rPr>
        <w:t xml:space="preserve">RMB 50,000以上</w:t>
      </w:r>
    </w:p>
    <w:p w:rsidR="00000000" w:rsidDel="00000000" w:rsidP="00000000" w:rsidRDefault="00000000" w:rsidRPr="00000000" w14:paraId="00000097">
      <w:pPr>
        <w:widowControl w:val="1"/>
        <w:contextualSpacing w:val="0"/>
        <w:jc w:val="left"/>
        <w:rPr>
          <w:rFonts w:ascii="Songti TC" w:cs="Songti TC" w:eastAsia="Songti TC" w:hAnsi="Songti TC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Songti TC" w:cs="Songti TC" w:eastAsia="Songti TC" w:hAnsi="Songti TC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  <w:font w:name="Songti T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kbuhk.qualtrics.com/jfe4/preview/SV_cZSlkaQaNeZ2jtj?Q_CHL=preview&amp;Q_CloneSession=FS_OvD1QKKzRldjO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